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9356" w:type="dxa"/>
        <w:jc w:val="center"/>
        <w:tblLayout w:type="autofit"/>
        <w:tblCellMar>
          <w:top w:w="0" w:type="dxa"/>
          <w:left w:w="108" w:type="dxa"/>
          <w:bottom w:w="0" w:type="dxa"/>
          <w:right w:w="108" w:type="dxa"/>
        </w:tblCellMar>
      </w:tblPr>
      <w:tblGrid>
        <w:gridCol w:w="3489"/>
        <w:gridCol w:w="5867"/>
      </w:tblGrid>
      <w:tr w14:paraId="2C5DFB30">
        <w:tblPrEx>
          <w:tblCellMar>
            <w:top w:w="0" w:type="dxa"/>
            <w:left w:w="108" w:type="dxa"/>
            <w:bottom w:w="0" w:type="dxa"/>
            <w:right w:w="108" w:type="dxa"/>
          </w:tblCellMar>
        </w:tblPrEx>
        <w:trPr>
          <w:jc w:val="center"/>
        </w:trPr>
        <w:tc>
          <w:tcPr>
            <w:tcW w:w="3489" w:type="dxa"/>
            <w:shd w:val="clear" w:color="auto" w:fill="auto"/>
          </w:tcPr>
          <w:p w14:paraId="1E8DC351">
            <w:pPr>
              <w:spacing w:after="0" w:line="240" w:lineRule="auto"/>
              <w:jc w:val="center"/>
              <w:rPr>
                <w:rFonts w:ascii="Times New Roman" w:hAnsi="Times New Roman"/>
                <w:b/>
                <w:sz w:val="26"/>
                <w:szCs w:val="26"/>
              </w:rPr>
            </w:pPr>
            <w:r>
              <w:rPr>
                <w:rFonts w:ascii="Times New Roman" w:hAnsi="Times New Roman"/>
                <w:b/>
                <w:sz w:val="26"/>
                <w:szCs w:val="26"/>
              </w:rPr>
              <w:t>ỦY BAN NHÂN DÂN</w:t>
            </w:r>
          </w:p>
          <w:p w14:paraId="04FDE45D">
            <w:pPr>
              <w:spacing w:after="0" w:line="240" w:lineRule="auto"/>
              <w:jc w:val="center"/>
              <w:rPr>
                <w:rFonts w:ascii="Times New Roman" w:hAnsi="Times New Roman"/>
                <w:b/>
                <w:sz w:val="26"/>
                <w:szCs w:val="26"/>
              </w:rPr>
            </w:pPr>
            <w:r>
              <w:rPr>
                <w:rFonts w:ascii="Times New Roman" w:hAnsi="Times New Roman"/>
                <w:b/>
                <w:sz w:val="26"/>
                <w:szCs w:val="26"/>
              </w:rPr>
              <w:t>TỈNH NINH BÌNH</w:t>
            </w:r>
          </w:p>
          <w:p w14:paraId="669DBCE5">
            <w:pPr>
              <w:spacing w:after="0" w:line="240" w:lineRule="auto"/>
              <w:jc w:val="center"/>
              <w:rPr>
                <w:rFonts w:ascii="Times New Roman" w:hAnsi="Times New Roman"/>
                <w:b/>
                <w:sz w:val="26"/>
                <w:szCs w:val="26"/>
              </w:rPr>
            </w:pPr>
            <w:r>
              <mc:AlternateContent>
                <mc:Choice Requires="wps">
                  <w:drawing>
                    <wp:anchor distT="0" distB="0" distL="114300" distR="114300" simplePos="0" relativeHeight="251660288" behindDoc="0" locked="0" layoutInCell="1" allowOverlap="1">
                      <wp:simplePos x="0" y="0"/>
                      <wp:positionH relativeFrom="column">
                        <wp:posOffset>618490</wp:posOffset>
                      </wp:positionH>
                      <wp:positionV relativeFrom="paragraph">
                        <wp:posOffset>13335</wp:posOffset>
                      </wp:positionV>
                      <wp:extent cx="782320" cy="0"/>
                      <wp:effectExtent l="0" t="0" r="37465" b="19050"/>
                      <wp:wrapNone/>
                      <wp:docPr id="4" name="Straight Connector 4"/>
                      <wp:cNvGraphicFramePr/>
                      <a:graphic xmlns:a="http://schemas.openxmlformats.org/drawingml/2006/main">
                        <a:graphicData uri="http://schemas.microsoft.com/office/word/2010/wordprocessingShape">
                          <wps:wsp>
                            <wps:cNvCnPr/>
                            <wps:spPr>
                              <a:xfrm>
                                <a:off x="0" y="0"/>
                                <a:ext cx="78213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48.7pt;margin-top:1.05pt;height:0pt;width:61.6pt;z-index:251660288;mso-width-relative:page;mso-height-relative:page;" filled="f" stroked="t" coordsize="21600,21600" o:gfxdata="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JdyLY0wAAAAYBAAAPAAAAAAAAAAEAIAAAACIAAABk&#10;cnMvZG93bnJldi54bWxQSwECFAAUAAAACACHTuJAp/2HfNIBAACzAwAADgAAAAAAAAABACAAAAAi&#10;AQAAZHJzL2Uyb0RvYy54bWxQSwUGAAAAAAYABgBZAQAAZgUAAAAA&#10;">
                      <v:fill on="f" focussize="0,0"/>
                      <v:stroke weight="0.5pt" color="#000000 [3200]" miterlimit="8" joinstyle="miter"/>
                      <v:imagedata o:title=""/>
                      <o:lock v:ext="edit" aspectratio="f"/>
                    </v:line>
                  </w:pict>
                </mc:Fallback>
              </mc:AlternateContent>
            </w:r>
          </w:p>
        </w:tc>
        <w:tc>
          <w:tcPr>
            <w:tcW w:w="5867" w:type="dxa"/>
            <w:shd w:val="clear" w:color="auto" w:fill="auto"/>
          </w:tcPr>
          <w:p w14:paraId="4602AC7C">
            <w:pPr>
              <w:spacing w:after="0" w:line="240" w:lineRule="auto"/>
              <w:jc w:val="center"/>
              <w:rPr>
                <w:rFonts w:ascii="Times New Roman" w:hAnsi="Times New Roman"/>
                <w:b/>
                <w:sz w:val="26"/>
                <w:szCs w:val="26"/>
              </w:rPr>
            </w:pPr>
            <w:r>
              <w:rPr>
                <w:rFonts w:ascii="Times New Roman" w:hAnsi="Times New Roman"/>
                <w:b/>
                <w:sz w:val="26"/>
                <w:szCs w:val="26"/>
              </w:rPr>
              <w:t>CỘNG HÒA XÃ HỘI CHỦ NGHĨA VIỆT NAM</w:t>
            </w:r>
          </w:p>
          <w:p w14:paraId="409B0C77">
            <w:pPr>
              <w:spacing w:after="0" w:line="240" w:lineRule="auto"/>
              <w:jc w:val="center"/>
              <w:rPr>
                <w:rFonts w:ascii="Times New Roman" w:hAnsi="Times New Roman"/>
                <w:b/>
                <w:sz w:val="28"/>
                <w:szCs w:val="28"/>
              </w:rPr>
            </w:pPr>
            <w:r>
              <w:rPr>
                <w:sz w:val="28"/>
                <w:szCs w:val="28"/>
              </w:rPr>
              <mc:AlternateContent>
                <mc:Choice Requires="wps">
                  <w:drawing>
                    <wp:anchor distT="0" distB="0" distL="114300" distR="114300" simplePos="0" relativeHeight="251659264" behindDoc="0" locked="0" layoutInCell="1" allowOverlap="1">
                      <wp:simplePos x="0" y="0"/>
                      <wp:positionH relativeFrom="column">
                        <wp:posOffset>821055</wp:posOffset>
                      </wp:positionH>
                      <wp:positionV relativeFrom="paragraph">
                        <wp:posOffset>208280</wp:posOffset>
                      </wp:positionV>
                      <wp:extent cx="1943735" cy="0"/>
                      <wp:effectExtent l="0" t="0" r="19050" b="19050"/>
                      <wp:wrapNone/>
                      <wp:docPr id="3" name="Straight Connector 3"/>
                      <wp:cNvGraphicFramePr/>
                      <a:graphic xmlns:a="http://schemas.openxmlformats.org/drawingml/2006/main">
                        <a:graphicData uri="http://schemas.microsoft.com/office/word/2010/wordprocessingShape">
                          <wps:wsp>
                            <wps:cNvCnPr/>
                            <wps:spPr>
                              <a:xfrm flipV="1">
                                <a:off x="0" y="0"/>
                                <a:ext cx="1943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64.65pt;margin-top:16.4pt;height:0pt;width:153.05pt;z-index:251659264;mso-width-relative:page;mso-height-relative:page;" filled="f" stroked="t" coordsize="21600,21600" o:gfxdata="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cno2EtYAAAAJAQAADwAAAAAAAAAB&#10;ACAAAAAiAAAAZHJzL2Rvd25yZXYueG1sUEsBAhQAFAAAAAgAh07iQOAAw+PZAQAAvgMAAA4AAAAA&#10;AAAAAQAgAAAAJQEAAGRycy9lMm9Eb2MueG1sUEsFBgAAAAAGAAYAWQEAAHAFAAAAAA==&#10;">
                      <v:fill on="f" focussize="0,0"/>
                      <v:stroke weight="0.5pt" color="#000000 [3200]" miterlimit="8" joinstyle="miter"/>
                      <v:imagedata o:title=""/>
                      <o:lock v:ext="edit" aspectratio="f"/>
                    </v:line>
                  </w:pict>
                </mc:Fallback>
              </mc:AlternateContent>
            </w:r>
            <w:r>
              <w:rPr>
                <w:rFonts w:ascii="Times New Roman" w:hAnsi="Times New Roman"/>
                <w:b/>
                <w:sz w:val="28"/>
                <w:szCs w:val="28"/>
              </w:rPr>
              <w:t>Độc lập - Tự do - Hạnh phúc</w:t>
            </w:r>
          </w:p>
          <w:p w14:paraId="324885FE">
            <w:pPr>
              <w:spacing w:after="0" w:line="240" w:lineRule="auto"/>
              <w:rPr>
                <w:rFonts w:ascii="Times New Roman" w:hAnsi="Times New Roman"/>
                <w:sz w:val="26"/>
                <w:szCs w:val="26"/>
              </w:rPr>
            </w:pPr>
          </w:p>
        </w:tc>
      </w:tr>
      <w:tr w14:paraId="402E821C">
        <w:tblPrEx>
          <w:tblCellMar>
            <w:top w:w="0" w:type="dxa"/>
            <w:left w:w="108" w:type="dxa"/>
            <w:bottom w:w="0" w:type="dxa"/>
            <w:right w:w="108" w:type="dxa"/>
          </w:tblCellMar>
        </w:tblPrEx>
        <w:trPr>
          <w:jc w:val="center"/>
        </w:trPr>
        <w:tc>
          <w:tcPr>
            <w:tcW w:w="3489" w:type="dxa"/>
            <w:shd w:val="clear" w:color="auto" w:fill="auto"/>
          </w:tcPr>
          <w:p w14:paraId="4B486B11">
            <w:pPr>
              <w:spacing w:after="0" w:line="240" w:lineRule="auto"/>
              <w:jc w:val="center"/>
              <w:rPr>
                <w:rFonts w:ascii="Times New Roman" w:hAnsi="Times New Roman"/>
                <w:sz w:val="26"/>
                <w:szCs w:val="26"/>
              </w:rPr>
            </w:pPr>
            <w:r>
              <mc:AlternateContent>
                <mc:Choice Requires="wps">
                  <w:drawing>
                    <wp:anchor distT="0" distB="0" distL="114300" distR="114300" simplePos="0" relativeHeight="251661312" behindDoc="0" locked="0" layoutInCell="1" allowOverlap="1">
                      <wp:simplePos x="0" y="0"/>
                      <wp:positionH relativeFrom="column">
                        <wp:posOffset>360680</wp:posOffset>
                      </wp:positionH>
                      <wp:positionV relativeFrom="paragraph">
                        <wp:posOffset>295910</wp:posOffset>
                      </wp:positionV>
                      <wp:extent cx="1143000" cy="310515"/>
                      <wp:effectExtent l="0" t="0" r="19050" b="13335"/>
                      <wp:wrapNone/>
                      <wp:docPr id="2" name="Rectangle 2"/>
                      <wp:cNvGraphicFramePr/>
                      <a:graphic xmlns:a="http://schemas.openxmlformats.org/drawingml/2006/main">
                        <a:graphicData uri="http://schemas.microsoft.com/office/word/2010/wordprocessingShape">
                          <wps:wsp>
                            <wps:cNvSpPr>
                              <a:spLocks noChangeArrowheads="1"/>
                            </wps:cNvSpPr>
                            <wps:spPr bwMode="auto">
                              <a:xfrm>
                                <a:off x="0" y="0"/>
                                <a:ext cx="1143000" cy="310515"/>
                              </a:xfrm>
                              <a:prstGeom prst="rect">
                                <a:avLst/>
                              </a:prstGeom>
                              <a:solidFill>
                                <a:srgbClr val="FFFFFF"/>
                              </a:solidFill>
                              <a:ln w="9525">
                                <a:solidFill>
                                  <a:srgbClr val="000000"/>
                                </a:solidFill>
                                <a:miter lim="800000"/>
                              </a:ln>
                            </wps:spPr>
                            <wps:txbx>
                              <w:txbxContent>
                                <w:p w14:paraId="2F82DF3B">
                                  <w:pPr>
                                    <w:jc w:val="center"/>
                                    <w:rPr>
                                      <w:rFonts w:ascii="Times New Roman" w:hAnsi="Times New Roman"/>
                                      <w:b/>
                                      <w:bCs/>
                                      <w:sz w:val="28"/>
                                      <w:szCs w:val="28"/>
                                    </w:rPr>
                                  </w:pPr>
                                  <w:r>
                                    <w:rPr>
                                      <w:rFonts w:ascii="Times New Roman" w:hAnsi="Times New Roman"/>
                                      <w:b/>
                                      <w:bCs/>
                                      <w:sz w:val="28"/>
                                      <w:szCs w:val="28"/>
                                    </w:rPr>
                                    <w:t xml:space="preserve">DỰ THẢO </w:t>
                                  </w:r>
                                  <w:r>
                                    <w:rPr>
                                      <w:rFonts w:ascii="Times New Roman" w:hAnsi="Times New Roman"/>
                                      <w:b/>
                                      <w:bCs/>
                                      <w:sz w:val="28"/>
                                      <w:szCs w:val="28"/>
                                    </w:rPr>
                                    <w:tab/>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8.4pt;margin-top:23.3pt;height:24.45pt;width:90pt;z-index:251661312;mso-width-relative:page;mso-height-relative:page;" fillcolor="#FFFFFF" filled="t" stroked="t" coordsize="21600,21600" o:gfxdata="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0hEZFNcAAAAIAQAADwAAAAAAAAABACAAAAAiAAAAZHJzL2Rvd25yZXYueG1sUEsB&#10;AhQAFAAAAAgAh07iQC8ubn0vAgAAfQQAAA4AAAAAAAAAAQAgAAAAJgEAAGRycy9lMm9Eb2MueG1s&#10;UEsFBgAAAAAGAAYAWQEAAMcFAAAAAA==&#10;">
                      <v:fill on="t" focussize="0,0"/>
                      <v:stroke color="#000000" miterlimit="8" joinstyle="miter"/>
                      <v:imagedata o:title=""/>
                      <o:lock v:ext="edit" aspectratio="f"/>
                      <v:textbox>
                        <w:txbxContent>
                          <w:p w14:paraId="2F82DF3B">
                            <w:pPr>
                              <w:jc w:val="center"/>
                              <w:rPr>
                                <w:rFonts w:ascii="Times New Roman" w:hAnsi="Times New Roman"/>
                                <w:b/>
                                <w:bCs/>
                                <w:sz w:val="28"/>
                                <w:szCs w:val="28"/>
                              </w:rPr>
                            </w:pPr>
                            <w:r>
                              <w:rPr>
                                <w:rFonts w:ascii="Times New Roman" w:hAnsi="Times New Roman"/>
                                <w:b/>
                                <w:bCs/>
                                <w:sz w:val="28"/>
                                <w:szCs w:val="28"/>
                              </w:rPr>
                              <w:t xml:space="preserve">DỰ THẢO </w:t>
                            </w:r>
                            <w:r>
                              <w:rPr>
                                <w:rFonts w:ascii="Times New Roman" w:hAnsi="Times New Roman"/>
                                <w:b/>
                                <w:bCs/>
                                <w:sz w:val="28"/>
                                <w:szCs w:val="28"/>
                              </w:rPr>
                              <w:tab/>
                            </w:r>
                          </w:p>
                        </w:txbxContent>
                      </v:textbox>
                    </v:rect>
                  </w:pict>
                </mc:Fallback>
              </mc:AlternateContent>
            </w:r>
            <w:r>
              <w:rPr>
                <w:rFonts w:ascii="Times New Roman" w:hAnsi="Times New Roman"/>
                <w:sz w:val="26"/>
                <w:szCs w:val="26"/>
              </w:rPr>
              <w:t>Số:        /2026/QĐ-UBND</w:t>
            </w:r>
          </w:p>
        </w:tc>
        <w:tc>
          <w:tcPr>
            <w:tcW w:w="5867" w:type="dxa"/>
            <w:shd w:val="clear" w:color="auto" w:fill="auto"/>
          </w:tcPr>
          <w:p w14:paraId="035C535D">
            <w:pPr>
              <w:spacing w:after="0" w:line="240" w:lineRule="auto"/>
              <w:jc w:val="center"/>
              <w:rPr>
                <w:rFonts w:ascii="Times New Roman" w:hAnsi="Times New Roman"/>
                <w:i/>
                <w:sz w:val="26"/>
                <w:szCs w:val="26"/>
              </w:rPr>
            </w:pPr>
            <w:r>
              <w:rPr>
                <w:rFonts w:ascii="Times New Roman" w:hAnsi="Times New Roman"/>
                <w:i/>
                <w:sz w:val="26"/>
                <w:szCs w:val="26"/>
              </w:rPr>
              <w:t>Hà Nam, ngày       tháng        năm 2026</w:t>
            </w:r>
          </w:p>
          <w:p w14:paraId="66DD6905">
            <w:pPr>
              <w:spacing w:after="0" w:line="240" w:lineRule="auto"/>
              <w:rPr>
                <w:rFonts w:ascii="Times New Roman" w:hAnsi="Times New Roman"/>
                <w:sz w:val="26"/>
                <w:szCs w:val="26"/>
              </w:rPr>
            </w:pPr>
          </w:p>
        </w:tc>
      </w:tr>
    </w:tbl>
    <w:p w14:paraId="73F7F729">
      <w:pPr>
        <w:spacing w:after="0" w:line="240" w:lineRule="auto"/>
        <w:jc w:val="center"/>
        <w:rPr>
          <w:rFonts w:ascii="Times New Roman" w:hAnsi="Times New Roman"/>
          <w:b/>
          <w:sz w:val="8"/>
          <w:szCs w:val="28"/>
        </w:rPr>
      </w:pPr>
    </w:p>
    <w:p w14:paraId="24F412DC">
      <w:pPr>
        <w:spacing w:after="0" w:line="240" w:lineRule="auto"/>
        <w:jc w:val="center"/>
        <w:rPr>
          <w:rFonts w:ascii="Times New Roman" w:hAnsi="Times New Roman"/>
          <w:b/>
          <w:sz w:val="28"/>
          <w:szCs w:val="28"/>
        </w:rPr>
      </w:pPr>
    </w:p>
    <w:p w14:paraId="52EBB646">
      <w:pPr>
        <w:spacing w:after="0" w:line="240" w:lineRule="auto"/>
        <w:jc w:val="center"/>
        <w:rPr>
          <w:rFonts w:ascii="Times New Roman" w:hAnsi="Times New Roman"/>
          <w:b/>
          <w:sz w:val="28"/>
          <w:szCs w:val="28"/>
        </w:rPr>
      </w:pPr>
      <w:r>
        <w:rPr>
          <w:rFonts w:ascii="Times New Roman" w:hAnsi="Times New Roman"/>
          <w:b/>
          <w:sz w:val="28"/>
          <w:szCs w:val="28"/>
        </w:rPr>
        <w:t>QUYẾT ĐỊNH</w:t>
      </w:r>
    </w:p>
    <w:p w14:paraId="0402B7F0">
      <w:pPr>
        <w:spacing w:after="0" w:line="240" w:lineRule="auto"/>
        <w:jc w:val="center"/>
        <w:rPr>
          <w:rFonts w:ascii="Times New Roman" w:hAnsi="Times New Roman" w:eastAsia="Times New Roman"/>
          <w:b/>
          <w:sz w:val="28"/>
          <w:szCs w:val="20"/>
        </w:rPr>
      </w:pPr>
      <w:r>
        <w:rPr>
          <w:rFonts w:ascii="Times New Roman" w:hAnsi="Times New Roman" w:eastAsia="Times New Roman"/>
          <w:b/>
          <w:sz w:val="28"/>
          <w:szCs w:val="20"/>
        </w:rPr>
        <w:t>Quy định chính sách ưu đãi (miễn, giảm) tiền thuê nhà cho các</w:t>
      </w:r>
    </w:p>
    <w:p w14:paraId="100694D5">
      <w:pPr>
        <w:spacing w:after="0" w:line="240" w:lineRule="auto"/>
        <w:jc w:val="center"/>
        <w:rPr>
          <w:rFonts w:ascii="Times New Roman" w:hAnsi="Times New Roman"/>
          <w:b/>
          <w:sz w:val="28"/>
          <w:szCs w:val="28"/>
        </w:rPr>
      </w:pPr>
      <w:r>
        <w:rPr>
          <w:rFonts w:ascii="Times New Roman" w:hAnsi="Times New Roman" w:eastAsia="Times New Roman"/>
          <w:b/>
          <w:sz w:val="28"/>
          <w:szCs w:val="20"/>
        </w:rPr>
        <w:t xml:space="preserve"> đối tượng ưu tiên trên địa bàn tỉnh Ninh Bình</w:t>
      </w:r>
    </w:p>
    <w:p w14:paraId="2738FE4B">
      <w:pPr>
        <w:spacing w:before="120" w:after="120" w:line="240" w:lineRule="auto"/>
        <w:ind w:firstLine="567"/>
        <w:jc w:val="both"/>
        <w:rPr>
          <w:rFonts w:ascii="Times New Roman" w:hAnsi="Times New Roman"/>
          <w:i/>
          <w:sz w:val="28"/>
          <w:szCs w:val="28"/>
        </w:rPr>
      </w:pPr>
    </w:p>
    <w:p w14:paraId="3753CFB8">
      <w:pPr>
        <w:spacing w:before="120" w:after="120" w:line="240" w:lineRule="auto"/>
        <w:ind w:firstLine="567"/>
        <w:jc w:val="both"/>
        <w:rPr>
          <w:rFonts w:ascii="Times New Roman" w:hAnsi="Times New Roman"/>
          <w:i/>
          <w:sz w:val="11"/>
          <w:szCs w:val="18"/>
        </w:rPr>
      </w:pPr>
    </w:p>
    <w:p w14:paraId="40F08A91">
      <w:pPr>
        <w:shd w:val="clear" w:color="auto" w:fill="FFFFFF"/>
        <w:spacing w:after="0" w:line="254" w:lineRule="auto"/>
        <w:ind w:firstLine="720"/>
        <w:jc w:val="both"/>
        <w:rPr>
          <w:rFonts w:ascii="Times New Roman" w:hAnsi="Times New Roman"/>
          <w:i/>
          <w:color w:val="auto"/>
          <w:sz w:val="28"/>
          <w:szCs w:val="28"/>
          <w:lang w:val="nb-NO"/>
        </w:rPr>
      </w:pPr>
      <w:bookmarkStart w:id="0" w:name="loai_1_name"/>
      <w:r>
        <w:rPr>
          <w:rFonts w:ascii="Times New Roman" w:hAnsi="Times New Roman"/>
          <w:i/>
          <w:color w:val="auto"/>
          <w:sz w:val="28"/>
          <w:szCs w:val="28"/>
          <w:lang w:val="nb-NO"/>
        </w:rPr>
        <w:t>Căn cứ Luật Tổ chức chính quyền địa phương số 72/2025/QH15;</w:t>
      </w:r>
    </w:p>
    <w:p w14:paraId="484CBFD5">
      <w:pPr>
        <w:shd w:val="clear" w:color="auto" w:fill="FFFFFF"/>
        <w:spacing w:after="0" w:line="254" w:lineRule="auto"/>
        <w:ind w:firstLine="720"/>
        <w:jc w:val="both"/>
        <w:rPr>
          <w:rFonts w:ascii="Times New Roman" w:hAnsi="Times New Roman"/>
          <w:i/>
          <w:color w:val="auto"/>
          <w:sz w:val="28"/>
          <w:szCs w:val="28"/>
          <w:lang w:val="nb-NO"/>
        </w:rPr>
      </w:pPr>
      <w:r>
        <w:rPr>
          <w:rFonts w:ascii="Times New Roman" w:hAnsi="Times New Roman"/>
          <w:i/>
          <w:color w:val="auto"/>
          <w:sz w:val="28"/>
          <w:szCs w:val="28"/>
          <w:lang w:val="nb-NO"/>
        </w:rPr>
        <w:t>Căn cứ Luật ban hành văn bản quy phạm pháp luật số 64/2025/QH15; được sửa đổi, bổ sung bởi Luật số 87/2025/QH15;</w:t>
      </w:r>
    </w:p>
    <w:p w14:paraId="147C190C">
      <w:pPr>
        <w:shd w:val="clear" w:color="auto" w:fill="FFFFFF"/>
        <w:spacing w:after="0" w:line="254" w:lineRule="auto"/>
        <w:ind w:firstLine="720"/>
        <w:jc w:val="both"/>
        <w:rPr>
          <w:rFonts w:ascii="Times New Roman" w:hAnsi="Times New Roman"/>
          <w:i/>
          <w:color w:val="auto"/>
          <w:sz w:val="28"/>
          <w:szCs w:val="28"/>
          <w:lang w:val="nb-NO"/>
        </w:rPr>
      </w:pPr>
      <w:r>
        <w:rPr>
          <w:rFonts w:ascii="Times New Roman" w:hAnsi="Times New Roman"/>
          <w:i/>
          <w:color w:val="auto"/>
          <w:sz w:val="28"/>
          <w:szCs w:val="28"/>
          <w:lang w:val="nb-NO"/>
        </w:rPr>
        <w:t>Căn cứ Luật Quản lý, sử dụng tài sản công số 15/2017/QH14, được sửa đổi, bổ sung bởi Luật số 64/2020/QH14; Luật số 07/2022/QH15; Luật số 24/2023/QH15; Luật số 31/2024/QH15; Luật số 43/2024/QH15; Luật số 56/2024/QH15 và Luật số 90/2025/QH15;</w:t>
      </w:r>
    </w:p>
    <w:p w14:paraId="1D3CECFC">
      <w:pPr>
        <w:keepNext w:val="0"/>
        <w:keepLines w:val="0"/>
        <w:pageBreakBefore w:val="0"/>
        <w:widowControl/>
        <w:shd w:val="clear" w:color="auto" w:fill="FFFFFF"/>
        <w:kinsoku/>
        <w:wordWrap/>
        <w:overflowPunct/>
        <w:topLinePunct w:val="0"/>
        <w:autoSpaceDE/>
        <w:autoSpaceDN/>
        <w:bidi w:val="0"/>
        <w:adjustRightInd/>
        <w:snapToGrid/>
        <w:spacing w:after="0" w:line="255" w:lineRule="auto"/>
        <w:ind w:right="-110" w:rightChars="-50" w:firstLine="720"/>
        <w:jc w:val="both"/>
        <w:textAlignment w:val="auto"/>
        <w:rPr>
          <w:rFonts w:hint="default" w:ascii="Times New Roman" w:hAnsi="Times New Roman"/>
          <w:i/>
          <w:color w:val="auto"/>
          <w:sz w:val="28"/>
          <w:szCs w:val="28"/>
          <w:lang w:val="pt-BR"/>
        </w:rPr>
      </w:pPr>
      <w:r>
        <w:rPr>
          <w:rFonts w:hint="default" w:ascii="Times New Roman" w:hAnsi="Times New Roman"/>
          <w:i/>
          <w:color w:val="auto"/>
          <w:sz w:val="28"/>
          <w:szCs w:val="28"/>
          <w:lang w:val="en-US"/>
        </w:rPr>
        <w:t xml:space="preserve">Căn cứ </w:t>
      </w:r>
      <w:r>
        <w:rPr>
          <w:rFonts w:hint="default" w:ascii="Times New Roman" w:hAnsi="Times New Roman"/>
          <w:i/>
          <w:color w:val="auto"/>
          <w:sz w:val="28"/>
          <w:szCs w:val="28"/>
          <w:lang w:val="pt-BR"/>
        </w:rPr>
        <w:t>Nghị quyết số 31/2026/NQ-CP của chính phủ về các cơ chế, chính sách đặc thù nhằm đẩy nhanh tiến độ xử lý, khai thác nhà, đất dôi dư sao khi sắp xếp, tinh gọn tổ chức bộ máy của hệ thống chính trị, sắp xếp đơn vị hành chinh;</w:t>
      </w:r>
    </w:p>
    <w:p w14:paraId="31DDA18B">
      <w:pPr>
        <w:shd w:val="clear" w:color="auto" w:fill="FFFFFF"/>
        <w:spacing w:after="0" w:line="254" w:lineRule="auto"/>
        <w:ind w:firstLine="720"/>
        <w:jc w:val="both"/>
        <w:rPr>
          <w:rFonts w:ascii="Times New Roman" w:hAnsi="Times New Roman"/>
          <w:i/>
          <w:color w:val="auto"/>
          <w:sz w:val="28"/>
          <w:szCs w:val="28"/>
          <w:lang w:val="pt-BR"/>
        </w:rPr>
      </w:pPr>
      <w:r>
        <w:rPr>
          <w:rFonts w:ascii="Times New Roman" w:hAnsi="Times New Roman"/>
          <w:i/>
          <w:color w:val="auto"/>
          <w:sz w:val="28"/>
          <w:szCs w:val="28"/>
          <w:lang w:val="pt-BR"/>
        </w:rPr>
        <w:t>Căn cứ Nghị định số 108/2024/NĐ-CP của Chính phủ quy định việc quản lý, sử dụng và khai thác nhà, đất là tài sản công không sử dụng vào mục đích để ở giao cho tổ chức có chức năng quản lý, kinh doanh nhà địa phương quản lý, khai thác</w:t>
      </w:r>
      <w:bookmarkEnd w:id="0"/>
      <w:r>
        <w:rPr>
          <w:rFonts w:ascii="Times New Roman" w:hAnsi="Times New Roman"/>
          <w:i/>
          <w:color w:val="auto"/>
          <w:sz w:val="28"/>
          <w:szCs w:val="28"/>
          <w:lang w:val="pt-BR"/>
        </w:rPr>
        <w:t xml:space="preserve">; </w:t>
      </w:r>
    </w:p>
    <w:p w14:paraId="2ED1A256">
      <w:pPr>
        <w:shd w:val="clear" w:color="auto" w:fill="FFFFFF"/>
        <w:spacing w:after="0" w:line="254" w:lineRule="auto"/>
        <w:ind w:firstLine="720"/>
        <w:jc w:val="both"/>
        <w:rPr>
          <w:rFonts w:ascii="Times New Roman" w:hAnsi="Times New Roman"/>
          <w:i/>
          <w:color w:val="auto"/>
          <w:sz w:val="28"/>
          <w:szCs w:val="28"/>
          <w:lang w:val="pt-BR"/>
        </w:rPr>
      </w:pPr>
      <w:r>
        <w:rPr>
          <w:rFonts w:ascii="Times New Roman" w:hAnsi="Times New Roman"/>
          <w:i/>
          <w:color w:val="auto"/>
          <w:sz w:val="28"/>
          <w:szCs w:val="28"/>
          <w:lang w:val="pt-BR"/>
        </w:rPr>
        <w:t>Căn cứ Nghị định số 286/2025/NĐ-CP của Chính phủ sửa đổi, bổ sung một số điều của các Nghị định trong lĩnh vực quản lý, sử dụng tài sản công;</w:t>
      </w:r>
    </w:p>
    <w:p w14:paraId="3CF25327">
      <w:pPr>
        <w:shd w:val="clear" w:color="auto" w:fill="FFFFFF"/>
        <w:spacing w:after="0" w:line="254" w:lineRule="auto"/>
        <w:ind w:firstLine="720"/>
        <w:jc w:val="both"/>
        <w:rPr>
          <w:rFonts w:hint="default" w:ascii="Times New Roman" w:hAnsi="Times New Roman"/>
          <w:i/>
          <w:color w:val="auto"/>
          <w:sz w:val="28"/>
          <w:szCs w:val="28"/>
          <w:lang w:val="en-US"/>
        </w:rPr>
      </w:pPr>
      <w:r>
        <w:rPr>
          <w:rFonts w:ascii="Times New Roman" w:hAnsi="Times New Roman"/>
          <w:i/>
          <w:color w:val="auto"/>
          <w:sz w:val="28"/>
          <w:szCs w:val="28"/>
          <w:lang w:val="pt-BR"/>
        </w:rPr>
        <w:t>Theo đề nghị của Giám đốc Sở Tài chính tại Tờ trình số........./TTr-STC ngày.....</w:t>
      </w:r>
      <w:r>
        <w:rPr>
          <w:rFonts w:hint="default" w:ascii="Times New Roman" w:hAnsi="Times New Roman"/>
          <w:i/>
          <w:color w:val="auto"/>
          <w:sz w:val="28"/>
          <w:szCs w:val="28"/>
          <w:lang w:val="en-US"/>
        </w:rPr>
        <w:t>tháng ….năm 2026,</w:t>
      </w:r>
    </w:p>
    <w:p w14:paraId="1F34BCF6">
      <w:pPr>
        <w:shd w:val="clear" w:color="auto" w:fill="FFFFFF"/>
        <w:spacing w:after="0" w:line="254" w:lineRule="auto"/>
        <w:ind w:firstLine="720"/>
        <w:jc w:val="both"/>
        <w:rPr>
          <w:rFonts w:ascii="Times New Roman" w:hAnsi="Times New Roman" w:eastAsia="Times New Roman"/>
          <w:i/>
          <w:iCs/>
          <w:color w:val="auto"/>
          <w:sz w:val="28"/>
          <w:szCs w:val="28"/>
        </w:rPr>
      </w:pPr>
      <w:r>
        <w:rPr>
          <w:rFonts w:ascii="Times New Roman" w:hAnsi="Times New Roman"/>
          <w:i/>
          <w:color w:val="auto"/>
          <w:sz w:val="28"/>
          <w:szCs w:val="28"/>
          <w:lang w:val="pt-BR"/>
        </w:rPr>
        <w:t>Ủy ban nhân dân ban hành Quyết định quy định c</w:t>
      </w:r>
      <w:r>
        <w:rPr>
          <w:rFonts w:ascii="Times New Roman" w:hAnsi="Times New Roman" w:eastAsia="Times New Roman"/>
          <w:i/>
          <w:iCs/>
          <w:color w:val="auto"/>
          <w:sz w:val="28"/>
          <w:szCs w:val="28"/>
        </w:rPr>
        <w:t>hính sách ưu đãi (miễn, giảm) tiền thuê nhà cho các đối tượng ưu tiên trên địa bàn tỉnh Ninh Bình</w:t>
      </w:r>
    </w:p>
    <w:p w14:paraId="7E916434">
      <w:pPr>
        <w:spacing w:before="120" w:after="120" w:line="240" w:lineRule="auto"/>
        <w:ind w:firstLine="720"/>
        <w:jc w:val="both"/>
        <w:rPr>
          <w:rFonts w:ascii="Times New Roman" w:hAnsi="Times New Roman" w:eastAsia="Times New Roman"/>
          <w:b/>
          <w:iCs/>
          <w:sz w:val="28"/>
          <w:szCs w:val="28"/>
          <w:lang w:val="nl-NL" w:eastAsia="vi-VN"/>
        </w:rPr>
      </w:pPr>
      <w:r>
        <w:rPr>
          <w:rFonts w:ascii="Times New Roman" w:hAnsi="Times New Roman" w:eastAsia="Times New Roman"/>
          <w:b/>
          <w:iCs/>
          <w:sz w:val="28"/>
          <w:szCs w:val="28"/>
          <w:lang w:val="nl-NL" w:eastAsia="vi-VN"/>
        </w:rPr>
        <w:t>Điều 1. Phạm vi điều chỉnh</w:t>
      </w:r>
    </w:p>
    <w:p w14:paraId="2457A474">
      <w:pPr>
        <w:spacing w:before="120" w:after="120" w:line="254" w:lineRule="auto"/>
        <w:ind w:right="3" w:firstLine="720"/>
        <w:jc w:val="both"/>
        <w:rPr>
          <w:rFonts w:ascii="Times New Roman" w:hAnsi="Times New Roman"/>
          <w:sz w:val="28"/>
          <w:szCs w:val="28"/>
          <w:lang w:val="nl-NL"/>
        </w:rPr>
      </w:pPr>
      <w:r>
        <w:rPr>
          <w:rFonts w:ascii="Times New Roman" w:hAnsi="Times New Roman"/>
          <w:sz w:val="28"/>
          <w:szCs w:val="28"/>
          <w:shd w:val="clear" w:color="auto" w:fill="FFFFFF"/>
          <w:lang w:val="nl-NL"/>
        </w:rPr>
        <w:t xml:space="preserve">Quyết định này quy định </w:t>
      </w:r>
      <w:r>
        <w:rPr>
          <w:rFonts w:ascii="Times New Roman" w:hAnsi="Times New Roman"/>
          <w:spacing w:val="-4"/>
          <w:sz w:val="28"/>
          <w:szCs w:val="28"/>
          <w:lang w:val="nl-NL"/>
        </w:rPr>
        <w:t>chính sách ưu đãi miễn, giảm tiền thuê nhà cho các đối tượng ưu tiên trên địa bàn tỉnh Ninh Bình.</w:t>
      </w:r>
    </w:p>
    <w:p w14:paraId="1CDDBBC4">
      <w:pPr>
        <w:spacing w:before="120" w:after="120" w:line="240" w:lineRule="auto"/>
        <w:ind w:firstLine="720"/>
        <w:jc w:val="both"/>
        <w:rPr>
          <w:rFonts w:ascii="Times New Roman" w:hAnsi="Times New Roman"/>
          <w:b/>
          <w:color w:val="FF0000"/>
          <w:spacing w:val="-4"/>
          <w:sz w:val="28"/>
          <w:szCs w:val="28"/>
          <w:lang w:val="nl-NL"/>
        </w:rPr>
      </w:pPr>
      <w:r>
        <w:rPr>
          <w:rFonts w:ascii="Times New Roman" w:hAnsi="Times New Roman"/>
          <w:b/>
          <w:spacing w:val="-4"/>
          <w:sz w:val="28"/>
          <w:szCs w:val="28"/>
          <w:lang w:val="nl-NL"/>
        </w:rPr>
        <w:t>Điều 2. Đối tượng áp dụng</w:t>
      </w:r>
    </w:p>
    <w:p w14:paraId="55B5318E">
      <w:pPr>
        <w:spacing w:before="120" w:line="320" w:lineRule="exact"/>
        <w:ind w:firstLine="720"/>
        <w:jc w:val="both"/>
        <w:rPr>
          <w:rFonts w:ascii="Times New Roman" w:hAnsi="Times New Roman"/>
          <w:spacing w:val="-4"/>
          <w:sz w:val="28"/>
          <w:szCs w:val="28"/>
        </w:rPr>
      </w:pPr>
      <w:r>
        <w:rPr>
          <w:rFonts w:ascii="Times New Roman" w:hAnsi="Times New Roman"/>
          <w:spacing w:val="-4"/>
          <w:sz w:val="28"/>
          <w:szCs w:val="28"/>
        </w:rPr>
        <w:t>1. Các đối tượng ưu tiên quy định tại điểm a khoản 2 Điều 10 Nghị định số 108/2024/NĐ-CP ngày 23/8/2024 của Chính phủ được sửa đổi, bổ sung tại khoản 5 Điều 1 Nghị định số 286/2025/NĐ-CP ngày 03/11/2025 của Chính phủ, bao gồm:</w:t>
      </w:r>
    </w:p>
    <w:p w14:paraId="0C5A37D4">
      <w:pPr>
        <w:spacing w:before="120" w:line="320" w:lineRule="exact"/>
        <w:ind w:firstLine="720"/>
        <w:jc w:val="both"/>
        <w:rPr>
          <w:rFonts w:ascii="Times New Roman" w:hAnsi="Times New Roman"/>
          <w:sz w:val="28"/>
          <w:szCs w:val="28"/>
        </w:rPr>
      </w:pPr>
      <w:r>
        <w:rPr>
          <w:rFonts w:ascii="Times New Roman" w:hAnsi="Times New Roman"/>
          <w:sz w:val="28"/>
          <w:szCs w:val="28"/>
        </w:rPr>
        <w:t>a) Tổ chức hội do Đảng, Nhà nước giao nhiệm vụ theo văn bản của cơ quan, người có thẩm quyền thuê để làm trụ sở làm việc trong trường hợp chưa có trụ sở làm việc;</w:t>
      </w:r>
    </w:p>
    <w:p w14:paraId="013ACEA9">
      <w:pPr>
        <w:spacing w:before="120" w:line="320" w:lineRule="exact"/>
        <w:ind w:firstLine="720"/>
        <w:jc w:val="both"/>
        <w:rPr>
          <w:rFonts w:ascii="Times New Roman" w:hAnsi="Times New Roman"/>
          <w:sz w:val="28"/>
          <w:szCs w:val="28"/>
        </w:rPr>
      </w:pPr>
      <w:r>
        <w:rPr>
          <w:rFonts w:ascii="Times New Roman" w:hAnsi="Times New Roman"/>
          <w:sz w:val="28"/>
          <w:szCs w:val="28"/>
        </w:rPr>
        <w:t>b) Cơ sở thực hiện xã hội hóa trong lĩnh vực giáo dục - đào tạo, dạy nghề, y tế, văn hóa, thể thao, môi trường thuộc danh mục chi tiết các loại hình và đáp ứng tiêu chí quy mô, tiêu chuẩn do Thủ tướng Chính phủ quyết định;</w:t>
      </w:r>
    </w:p>
    <w:p w14:paraId="2BF39165">
      <w:pPr>
        <w:spacing w:before="120" w:line="320" w:lineRule="exact"/>
        <w:ind w:firstLine="720"/>
        <w:jc w:val="both"/>
        <w:rPr>
          <w:rFonts w:ascii="Times New Roman" w:hAnsi="Times New Roman"/>
          <w:sz w:val="28"/>
          <w:szCs w:val="28"/>
        </w:rPr>
      </w:pPr>
      <w:r>
        <w:rPr>
          <w:rFonts w:ascii="Times New Roman" w:hAnsi="Times New Roman"/>
          <w:sz w:val="28"/>
          <w:szCs w:val="28"/>
        </w:rPr>
        <w:t>c) Hợp tác xã, liên hiệp hợp tác xã, tổ hợp tác đáp ứng các tiêu chí để được thụ hưởng chính sách hỗ trợ của Nhà nước theo quy định tại Luật Hợp tác xã, Nghị định của Chính phủ quy định chi tiết một số điều của Luật Hợp tác xã thuê để làm trụ sở, nhà kho, cửa hàng mua bán, trưng bày, giới thiệu sản phẩm phục vụ hoạt động sản xuất, kinh doanh.</w:t>
      </w:r>
    </w:p>
    <w:p w14:paraId="4E576338">
      <w:pPr>
        <w:spacing w:before="120" w:line="320" w:lineRule="exact"/>
        <w:ind w:firstLine="720"/>
        <w:jc w:val="both"/>
        <w:rPr>
          <w:rFonts w:ascii="Times New Roman" w:hAnsi="Times New Roman"/>
          <w:sz w:val="28"/>
          <w:szCs w:val="28"/>
        </w:rPr>
      </w:pPr>
      <w:r>
        <w:rPr>
          <w:rFonts w:ascii="Times New Roman" w:hAnsi="Times New Roman"/>
          <w:sz w:val="28"/>
          <w:szCs w:val="28"/>
        </w:rPr>
        <w:t>2. Tổ chức có chức năng quản lý, kinh doanh nhà được Ủy ban nhân dân các cấp giao nhiệm vụ quản lý, khai thác nhà, đất.</w:t>
      </w:r>
    </w:p>
    <w:p w14:paraId="0AD99DB0">
      <w:pPr>
        <w:spacing w:before="120" w:line="320" w:lineRule="exact"/>
        <w:ind w:firstLine="720"/>
        <w:jc w:val="both"/>
        <w:rPr>
          <w:rFonts w:ascii="Times New Roman" w:hAnsi="Times New Roman"/>
          <w:sz w:val="28"/>
          <w:szCs w:val="28"/>
        </w:rPr>
      </w:pPr>
      <w:r>
        <w:rPr>
          <w:rFonts w:ascii="Times New Roman" w:hAnsi="Times New Roman"/>
          <w:sz w:val="28"/>
          <w:szCs w:val="28"/>
        </w:rPr>
        <w:t>3. Các cơ quan, tổ chức, đơn vị, doanh nghiệp và cá nhân khác có liên quan đến việc quản lý, sử dụng và khai thác nhà, đất.</w:t>
      </w:r>
    </w:p>
    <w:p w14:paraId="304739C5">
      <w:pPr>
        <w:spacing w:before="120" w:line="300" w:lineRule="exact"/>
        <w:ind w:firstLine="720"/>
        <w:rPr>
          <w:rFonts w:ascii="Times New Roman" w:hAnsi="Times New Roman"/>
          <w:b/>
          <w:sz w:val="28"/>
          <w:szCs w:val="28"/>
        </w:rPr>
      </w:pPr>
      <w:r>
        <w:rPr>
          <w:rFonts w:ascii="Times New Roman" w:hAnsi="Times New Roman"/>
          <w:b/>
          <w:bCs/>
          <w:sz w:val="28"/>
          <w:szCs w:val="28"/>
        </w:rPr>
        <w:t xml:space="preserve">Điều 3. </w:t>
      </w:r>
      <w:r>
        <w:rPr>
          <w:rFonts w:ascii="Times New Roman" w:hAnsi="Times New Roman"/>
          <w:b/>
          <w:sz w:val="28"/>
          <w:szCs w:val="28"/>
        </w:rPr>
        <w:t>Chính sách ưu đãi tiền thuê nhà cho các đối tượng ưu tiên</w:t>
      </w:r>
    </w:p>
    <w:p w14:paraId="1F8C5FAA">
      <w:pPr>
        <w:keepNext w:val="0"/>
        <w:keepLines w:val="0"/>
        <w:pageBreakBefore w:val="0"/>
        <w:kinsoku/>
        <w:wordWrap/>
        <w:overflowPunct/>
        <w:topLinePunct w:val="0"/>
        <w:autoSpaceDE/>
        <w:autoSpaceDN/>
        <w:bidi w:val="0"/>
        <w:adjustRightInd/>
        <w:snapToGrid/>
        <w:spacing w:after="0"/>
        <w:ind w:firstLine="720" w:firstLineChars="0"/>
        <w:jc w:val="both"/>
        <w:textAlignment w:val="auto"/>
        <w:rPr>
          <w:rFonts w:hint="default" w:ascii="Times New Roman" w:hAnsi="Times New Roman" w:cs="Times New Roman"/>
          <w:b w:val="0"/>
          <w:bCs w:val="0"/>
          <w:i w:val="0"/>
          <w:iCs w:val="0"/>
          <w:sz w:val="28"/>
          <w:szCs w:val="28"/>
          <w:u w:val="none"/>
        </w:rPr>
      </w:pPr>
      <w:r>
        <w:rPr>
          <w:rFonts w:hint="default" w:ascii="Times New Roman" w:hAnsi="Times New Roman" w:cs="Times New Roman"/>
          <w:b/>
          <w:bCs/>
          <w:i w:val="0"/>
          <w:iCs w:val="0"/>
          <w:sz w:val="28"/>
          <w:szCs w:val="28"/>
          <w:u w:val="none"/>
        </w:rPr>
        <w:t>1.</w:t>
      </w:r>
      <w:r>
        <w:rPr>
          <w:rFonts w:hint="default" w:cs="Times New Roman"/>
          <w:b w:val="0"/>
          <w:bCs w:val="0"/>
          <w:i w:val="0"/>
          <w:iCs w:val="0"/>
          <w:sz w:val="28"/>
          <w:szCs w:val="28"/>
          <w:u w:val="none"/>
          <w:lang w:val="en-US"/>
        </w:rPr>
        <w:t xml:space="preserve"> </w:t>
      </w:r>
      <w:r>
        <w:rPr>
          <w:rFonts w:hint="default" w:ascii="Times New Roman" w:hAnsi="Times New Roman" w:cs="Times New Roman"/>
          <w:b w:val="0"/>
          <w:bCs w:val="0"/>
          <w:i w:val="0"/>
          <w:iCs w:val="0"/>
          <w:sz w:val="28"/>
          <w:szCs w:val="28"/>
          <w:u w:val="none"/>
        </w:rPr>
        <w:t>Miễn tiền thuê nhà cho toàn bộ thời gian thuê (</w:t>
      </w:r>
      <w:r>
        <w:rPr>
          <w:rFonts w:hint="default" w:ascii="Times New Roman" w:hAnsi="Times New Roman" w:cs="Times New Roman"/>
          <w:b w:val="0"/>
          <w:bCs w:val="0"/>
          <w:i/>
          <w:iCs/>
          <w:sz w:val="28"/>
          <w:szCs w:val="28"/>
          <w:u w:val="none"/>
        </w:rPr>
        <w:t>bao gồm cả trường hợp gia hạn thời hạn cho thuê nhà</w:t>
      </w:r>
      <w:r>
        <w:rPr>
          <w:rFonts w:hint="default" w:ascii="Times New Roman" w:hAnsi="Times New Roman" w:cs="Times New Roman"/>
          <w:b w:val="0"/>
          <w:bCs w:val="0"/>
          <w:i w:val="0"/>
          <w:iCs w:val="0"/>
          <w:sz w:val="28"/>
          <w:szCs w:val="28"/>
          <w:u w:val="none"/>
        </w:rPr>
        <w:t>) đối với Hội quần chúng do Đảng, Nhà nước giao nhiệm vụ thuộc phạm vi quản lý của tỉnh thuê nhà để làm trụ sở làm việc (</w:t>
      </w:r>
      <w:bookmarkStart w:id="3" w:name="_GoBack"/>
      <w:r>
        <w:rPr>
          <w:rFonts w:hint="default" w:ascii="Times New Roman" w:hAnsi="Times New Roman" w:cs="Times New Roman"/>
          <w:b w:val="0"/>
          <w:bCs w:val="0"/>
          <w:i/>
          <w:iCs/>
          <w:sz w:val="28"/>
          <w:szCs w:val="28"/>
          <w:u w:val="none"/>
          <w:lang w:val="en-US"/>
        </w:rPr>
        <w:t>t</w:t>
      </w:r>
      <w:bookmarkEnd w:id="3"/>
      <w:r>
        <w:rPr>
          <w:rFonts w:hint="default" w:ascii="Times New Roman" w:hAnsi="Times New Roman" w:cs="Times New Roman"/>
          <w:b w:val="0"/>
          <w:bCs w:val="0"/>
          <w:i/>
          <w:iCs/>
          <w:sz w:val="28"/>
          <w:szCs w:val="28"/>
          <w:u w:val="none"/>
        </w:rPr>
        <w:t>rong trường hợp chưa có trụ sở làm việc)</w:t>
      </w:r>
      <w:r>
        <w:rPr>
          <w:rFonts w:hint="default" w:ascii="Times New Roman" w:hAnsi="Times New Roman" w:cs="Times New Roman"/>
          <w:b w:val="0"/>
          <w:bCs w:val="0"/>
          <w:i w:val="0"/>
          <w:iCs w:val="0"/>
          <w:sz w:val="28"/>
          <w:szCs w:val="28"/>
          <w:u w:val="none"/>
        </w:rPr>
        <w:t xml:space="preserve"> </w:t>
      </w:r>
    </w:p>
    <w:p w14:paraId="2617513F">
      <w:pPr>
        <w:keepNext w:val="0"/>
        <w:keepLines w:val="0"/>
        <w:pageBreakBefore w:val="0"/>
        <w:kinsoku/>
        <w:wordWrap/>
        <w:overflowPunct/>
        <w:topLinePunct w:val="0"/>
        <w:autoSpaceDE/>
        <w:autoSpaceDN/>
        <w:bidi w:val="0"/>
        <w:adjustRightInd/>
        <w:snapToGrid/>
        <w:spacing w:after="0"/>
        <w:ind w:firstLine="720" w:firstLineChars="0"/>
        <w:jc w:val="both"/>
        <w:textAlignment w:val="auto"/>
        <w:rPr>
          <w:rFonts w:hint="default" w:ascii="Times New Roman" w:hAnsi="Times New Roman" w:cs="Times New Roman"/>
          <w:b w:val="0"/>
          <w:bCs w:val="0"/>
          <w:i w:val="0"/>
          <w:iCs w:val="0"/>
          <w:sz w:val="28"/>
          <w:szCs w:val="28"/>
          <w:u w:val="none"/>
        </w:rPr>
      </w:pPr>
      <w:r>
        <w:rPr>
          <w:rFonts w:hint="default" w:ascii="Times New Roman" w:hAnsi="Times New Roman" w:cs="Times New Roman"/>
          <w:b/>
          <w:bCs/>
          <w:i w:val="0"/>
          <w:iCs w:val="0"/>
          <w:sz w:val="28"/>
          <w:szCs w:val="28"/>
          <w:u w:val="none"/>
        </w:rPr>
        <w:t xml:space="preserve">2. </w:t>
      </w:r>
      <w:r>
        <w:rPr>
          <w:rFonts w:hint="default" w:ascii="Times New Roman" w:hAnsi="Times New Roman" w:cs="Times New Roman"/>
          <w:b w:val="0"/>
          <w:bCs w:val="0"/>
          <w:i w:val="0"/>
          <w:iCs w:val="0"/>
          <w:sz w:val="28"/>
          <w:szCs w:val="28"/>
          <w:u w:val="none"/>
        </w:rPr>
        <w:t>Giảm 50% tiền thuê nhà cho toàn bộ thời gian thuê nhà (</w:t>
      </w:r>
      <w:r>
        <w:rPr>
          <w:rFonts w:hint="default" w:ascii="Times New Roman" w:hAnsi="Times New Roman" w:cs="Times New Roman"/>
          <w:b w:val="0"/>
          <w:bCs w:val="0"/>
          <w:i/>
          <w:iCs/>
          <w:sz w:val="28"/>
          <w:szCs w:val="28"/>
          <w:u w:val="none"/>
        </w:rPr>
        <w:t>bao gồm cả trường hợp gia hạn thời hạn cho thuê nhà</w:t>
      </w:r>
      <w:r>
        <w:rPr>
          <w:rFonts w:hint="default" w:ascii="Times New Roman" w:hAnsi="Times New Roman" w:cs="Times New Roman"/>
          <w:b w:val="0"/>
          <w:bCs w:val="0"/>
          <w:i w:val="0"/>
          <w:iCs w:val="0"/>
          <w:sz w:val="28"/>
          <w:szCs w:val="28"/>
          <w:u w:val="none"/>
        </w:rPr>
        <w:t>)</w:t>
      </w:r>
      <w:r>
        <w:rPr>
          <w:rFonts w:hint="default" w:cs="Times New Roman"/>
          <w:b w:val="0"/>
          <w:bCs w:val="0"/>
          <w:i w:val="0"/>
          <w:iCs w:val="0"/>
          <w:sz w:val="28"/>
          <w:szCs w:val="28"/>
          <w:u w:val="none"/>
          <w:lang w:val="en-US"/>
        </w:rPr>
        <w:t xml:space="preserve"> </w:t>
      </w:r>
      <w:r>
        <w:rPr>
          <w:rFonts w:hint="default" w:ascii="Times New Roman" w:hAnsi="Times New Roman" w:cs="Times New Roman"/>
          <w:b w:val="0"/>
          <w:bCs w:val="0"/>
          <w:i w:val="0"/>
          <w:iCs w:val="0"/>
          <w:sz w:val="28"/>
          <w:szCs w:val="28"/>
          <w:u w:val="none"/>
        </w:rPr>
        <w:t>đối với</w:t>
      </w:r>
      <w:r>
        <w:rPr>
          <w:rFonts w:hint="default" w:cs="Times New Roman"/>
          <w:b w:val="0"/>
          <w:bCs w:val="0"/>
          <w:i w:val="0"/>
          <w:iCs w:val="0"/>
          <w:sz w:val="28"/>
          <w:szCs w:val="28"/>
          <w:u w:val="none"/>
          <w:lang w:val="en-US"/>
        </w:rPr>
        <w:t>:</w:t>
      </w:r>
      <w:r>
        <w:rPr>
          <w:rFonts w:hint="default" w:ascii="Times New Roman" w:hAnsi="Times New Roman" w:cs="Times New Roman"/>
          <w:b w:val="0"/>
          <w:bCs w:val="0"/>
          <w:i w:val="0"/>
          <w:iCs w:val="0"/>
          <w:sz w:val="28"/>
          <w:szCs w:val="28"/>
          <w:u w:val="none"/>
        </w:rPr>
        <w:t xml:space="preserve"> </w:t>
      </w:r>
    </w:p>
    <w:p w14:paraId="13885884">
      <w:pPr>
        <w:keepNext w:val="0"/>
        <w:keepLines w:val="0"/>
        <w:pageBreakBefore w:val="0"/>
        <w:kinsoku/>
        <w:wordWrap/>
        <w:overflowPunct/>
        <w:topLinePunct w:val="0"/>
        <w:autoSpaceDE/>
        <w:autoSpaceDN/>
        <w:bidi w:val="0"/>
        <w:adjustRightInd/>
        <w:snapToGrid/>
        <w:spacing w:after="0"/>
        <w:ind w:firstLine="720" w:firstLineChars="0"/>
        <w:jc w:val="both"/>
        <w:textAlignment w:val="auto"/>
        <w:rPr>
          <w:rFonts w:hint="default" w:ascii="Times New Roman" w:hAnsi="Times New Roman" w:cs="Times New Roman"/>
          <w:b w:val="0"/>
          <w:bCs w:val="0"/>
          <w:i w:val="0"/>
          <w:iCs w:val="0"/>
          <w:sz w:val="28"/>
          <w:szCs w:val="28"/>
          <w:u w:val="none"/>
        </w:rPr>
      </w:pPr>
      <w:r>
        <w:rPr>
          <w:rFonts w:hint="default" w:ascii="Times New Roman" w:hAnsi="Times New Roman" w:cs="Times New Roman"/>
          <w:b w:val="0"/>
          <w:bCs w:val="0"/>
          <w:i w:val="0"/>
          <w:iCs w:val="0"/>
          <w:sz w:val="28"/>
          <w:szCs w:val="28"/>
          <w:u w:val="none"/>
        </w:rPr>
        <w:t>a) Cơ sở thực hiện xã hội hóa trong lĩnh vực giáo dục - đào tạo, dạy nghề, y tế, văn hóa, thể thao, môi trường thuộc danh mục chi tiết các loại hình và đáp ứng tiêu chí quy mô, tiêu chuẩn do Thủ tướng Chính phủ quyết định.</w:t>
      </w:r>
    </w:p>
    <w:p w14:paraId="6E2328A8">
      <w:pPr>
        <w:keepNext w:val="0"/>
        <w:keepLines w:val="0"/>
        <w:pageBreakBefore w:val="0"/>
        <w:kinsoku/>
        <w:wordWrap/>
        <w:overflowPunct/>
        <w:topLinePunct w:val="0"/>
        <w:autoSpaceDE/>
        <w:autoSpaceDN/>
        <w:bidi w:val="0"/>
        <w:adjustRightInd/>
        <w:snapToGrid/>
        <w:spacing w:after="0"/>
        <w:ind w:firstLine="720" w:firstLineChars="0"/>
        <w:jc w:val="both"/>
        <w:textAlignment w:val="auto"/>
        <w:rPr>
          <w:rFonts w:hint="default" w:ascii="Times New Roman" w:hAnsi="Times New Roman" w:cs="Times New Roman"/>
          <w:b w:val="0"/>
          <w:bCs w:val="0"/>
          <w:i w:val="0"/>
          <w:iCs w:val="0"/>
          <w:sz w:val="28"/>
          <w:szCs w:val="28"/>
          <w:u w:val="none"/>
          <w:lang w:val="en-US"/>
        </w:rPr>
      </w:pPr>
      <w:r>
        <w:rPr>
          <w:rFonts w:hint="default" w:ascii="Times New Roman" w:hAnsi="Times New Roman" w:cs="Times New Roman"/>
          <w:b w:val="0"/>
          <w:bCs w:val="0"/>
          <w:i w:val="0"/>
          <w:iCs w:val="0"/>
          <w:sz w:val="28"/>
          <w:szCs w:val="28"/>
          <w:u w:val="none"/>
        </w:rPr>
        <w:t>b) Hợp tác xã, liên hiệp hợp tác xã, tổ hợp tác đáp ứng các tiêu chí để được thụ hưởng chính sách hỗ trợ của Nhà nước theo quy định tại Luật Hợp tác xã, Nghị định của Chính phủ quy định chi tiết một số điều của Luật Hợp tác xã thuê để làm trụ sở, nhà kho, cửa hàng mua bán, trưng bày, giới thiệu sản phẩm phục vụ hoạt động sản xuất, kinh doan</w:t>
      </w:r>
      <w:r>
        <w:rPr>
          <w:rFonts w:hint="default" w:cs="Times New Roman"/>
          <w:b w:val="0"/>
          <w:bCs w:val="0"/>
          <w:i w:val="0"/>
          <w:iCs w:val="0"/>
          <w:sz w:val="28"/>
          <w:szCs w:val="28"/>
          <w:u w:val="none"/>
          <w:lang w:val="en-US"/>
        </w:rPr>
        <w:t>h</w:t>
      </w:r>
    </w:p>
    <w:p w14:paraId="0FA0A6A7">
      <w:pPr>
        <w:spacing w:before="120" w:after="120" w:line="254" w:lineRule="auto"/>
        <w:ind w:firstLine="720"/>
        <w:jc w:val="both"/>
        <w:rPr>
          <w:rStyle w:val="7"/>
          <w:b/>
        </w:rPr>
      </w:pPr>
      <w:r>
        <w:rPr>
          <w:rStyle w:val="7"/>
          <w:b/>
        </w:rPr>
        <w:t>Điều 4. Quy định chuyển tiếp</w:t>
      </w:r>
    </w:p>
    <w:p w14:paraId="77321F2B">
      <w:pPr>
        <w:shd w:val="clear" w:color="auto" w:fill="FFFFFF"/>
        <w:spacing w:after="0" w:line="234" w:lineRule="atLeast"/>
        <w:ind w:firstLine="720"/>
        <w:jc w:val="both"/>
        <w:rPr>
          <w:rFonts w:ascii="Times New Roman" w:hAnsi="Times New Roman" w:eastAsia="Times New Roman"/>
          <w:color w:val="000000"/>
          <w:sz w:val="28"/>
          <w:szCs w:val="28"/>
        </w:rPr>
      </w:pPr>
      <w:r>
        <w:rPr>
          <w:rFonts w:ascii="Times New Roman" w:hAnsi="Times New Roman" w:eastAsia="Times New Roman"/>
          <w:color w:val="000000"/>
          <w:sz w:val="28"/>
          <w:szCs w:val="28"/>
        </w:rPr>
        <w:t>Đối với nhà, đất đang cho thuê theo Hợp đồng ký trước ngày Nghị định số 108/2024/NĐ-CP ngày 23 tháng 8 năm 2024 của Chính phủ có hiệu lực thi hành và thuộc phạm vi điều chỉnh, trường hợp xử lý chuyển tiếp theo quy định tại </w:t>
      </w:r>
      <w:bookmarkStart w:id="1" w:name="dc_4"/>
      <w:r>
        <w:rPr>
          <w:rFonts w:ascii="Times New Roman" w:hAnsi="Times New Roman" w:eastAsia="Times New Roman"/>
          <w:color w:val="000000"/>
          <w:sz w:val="28"/>
          <w:szCs w:val="28"/>
        </w:rPr>
        <w:t>khoản 2 Điều 31 Nghị định số 108/2024/NĐ-CP</w:t>
      </w:r>
      <w:bookmarkEnd w:id="1"/>
      <w:r>
        <w:rPr>
          <w:rFonts w:ascii="Times New Roman" w:hAnsi="Times New Roman" w:eastAsia="Times New Roman"/>
          <w:color w:val="000000"/>
          <w:sz w:val="28"/>
          <w:szCs w:val="28"/>
        </w:rPr>
        <w:t> ngày 23 tháng 8 năm 2024 của Chính phủ thì được hưởng chính sách ưu đãi quy định tại Điều 3 Quyết định này cho thời hạn còn lại của Hợp đồng kể từ ngày Quyết định này có hiệu lực thi hành. Việc xác định giá thuê và thời hạn tiếp tục thuê phải đảm bảo đúng quy định tại </w:t>
      </w:r>
      <w:bookmarkStart w:id="2" w:name="dc_5"/>
      <w:r>
        <w:rPr>
          <w:rFonts w:ascii="Times New Roman" w:hAnsi="Times New Roman" w:eastAsia="Times New Roman"/>
          <w:color w:val="000000"/>
          <w:sz w:val="28"/>
          <w:szCs w:val="28"/>
        </w:rPr>
        <w:t>khoản 2 Điều 31 Nghị định số 108/2024/NĐ-CP</w:t>
      </w:r>
      <w:bookmarkEnd w:id="2"/>
      <w:r>
        <w:rPr>
          <w:rFonts w:ascii="Times New Roman" w:hAnsi="Times New Roman" w:eastAsia="Times New Roman"/>
          <w:color w:val="000000"/>
          <w:sz w:val="28"/>
          <w:szCs w:val="28"/>
        </w:rPr>
        <w:t> ngày 23 tháng 8 năm 2024 của Chính phủ.</w:t>
      </w:r>
    </w:p>
    <w:p w14:paraId="24510C17">
      <w:pPr>
        <w:spacing w:before="120" w:after="120" w:line="254" w:lineRule="auto"/>
        <w:ind w:right="3" w:firstLine="720"/>
        <w:jc w:val="both"/>
        <w:rPr>
          <w:rFonts w:ascii="Times New Roman" w:hAnsi="Times New Roman"/>
          <w:b/>
          <w:sz w:val="28"/>
          <w:szCs w:val="28"/>
          <w:lang w:val="nl-NL"/>
        </w:rPr>
      </w:pPr>
      <w:r>
        <w:rPr>
          <w:rFonts w:ascii="Times New Roman" w:hAnsi="Times New Roman"/>
          <w:b/>
          <w:sz w:val="28"/>
          <w:szCs w:val="28"/>
          <w:lang w:val="nl-NL"/>
        </w:rPr>
        <w:t>Điều 5. Hiệu lực thi hành</w:t>
      </w:r>
    </w:p>
    <w:p w14:paraId="422ECB08">
      <w:pPr>
        <w:spacing w:before="120" w:after="120" w:line="254" w:lineRule="auto"/>
        <w:ind w:right="3" w:firstLine="720"/>
        <w:jc w:val="both"/>
        <w:rPr>
          <w:rFonts w:ascii="Times New Roman" w:hAnsi="Times New Roman"/>
          <w:i/>
          <w:iCs/>
          <w:sz w:val="28"/>
          <w:szCs w:val="28"/>
          <w:lang w:val="nl-NL"/>
        </w:rPr>
      </w:pPr>
      <w:r>
        <w:rPr>
          <w:rFonts w:ascii="Times New Roman" w:hAnsi="Times New Roman"/>
          <w:sz w:val="28"/>
          <w:szCs w:val="28"/>
          <w:lang w:val="nl-NL"/>
        </w:rPr>
        <w:t>Quyết định này có hiệu lực thi hành kể từ ngày …..tháng …. năm 2026.</w:t>
      </w:r>
    </w:p>
    <w:p w14:paraId="21108CF1">
      <w:pPr>
        <w:spacing w:before="120" w:after="120" w:line="254" w:lineRule="auto"/>
        <w:ind w:firstLine="720"/>
        <w:jc w:val="both"/>
        <w:rPr>
          <w:rStyle w:val="7"/>
          <w:b/>
        </w:rPr>
      </w:pPr>
      <w:r>
        <w:rPr>
          <w:rStyle w:val="7"/>
          <w:b/>
        </w:rPr>
        <w:t>Điều 6. Tổ chức thực hiện</w:t>
      </w:r>
    </w:p>
    <w:p w14:paraId="34A19973">
      <w:pPr>
        <w:shd w:val="clear" w:color="auto" w:fill="FFFFFF"/>
        <w:spacing w:before="120" w:after="120" w:line="254" w:lineRule="auto"/>
        <w:ind w:firstLine="720"/>
        <w:jc w:val="both"/>
        <w:rPr>
          <w:rStyle w:val="7"/>
          <w:lang w:val="nl-NL"/>
        </w:rPr>
      </w:pPr>
      <w:r>
        <w:rPr>
          <w:rFonts w:ascii="Times New Roman" w:hAnsi="Times New Roman"/>
          <w:sz w:val="28"/>
          <w:szCs w:val="28"/>
          <w:lang w:val="nl-NL"/>
        </w:rPr>
        <w:t>1. Tổ chức có chức năng quản lý, kinh doanh nhà địa phương được Ủy ban nhân dân các cấp giao nhiệm vụ quản lý, khai thác nhà, đất theo quy định tại khoản 3 Điều 2 Nghị định số 108/2024/NĐ-CP ngày 23 tháng 8 năm 2024 của Chính phủ tổ chức thực hiện miễn, giảm tiên thuê nhà cho các đối tượng được thuê nhà theo quy định.</w:t>
      </w:r>
    </w:p>
    <w:p w14:paraId="32E22024">
      <w:pPr>
        <w:spacing w:before="120" w:after="120" w:line="240" w:lineRule="auto"/>
        <w:ind w:firstLine="720"/>
        <w:jc w:val="both"/>
        <w:rPr>
          <w:rFonts w:ascii="Times New Roman" w:hAnsi="Times New Roman"/>
          <w:sz w:val="28"/>
          <w:szCs w:val="28"/>
        </w:rPr>
      </w:pPr>
      <w:r>
        <w:rPr>
          <w:rFonts w:ascii="Times New Roman" w:hAnsi="Times New Roman"/>
          <w:sz w:val="28"/>
          <w:szCs w:val="28"/>
        </w:rPr>
        <w:t>2. Chánh Văn phòng Ủy ban nhân dân tỉnh; Giám đốc các Sở, Thủ trưởng các Ban, ngành; Thủ trưởng các cơ quan, đơn vị, tổ chức và cá nhân có liên quan chịu trách nhiệm thi hành Quyết định này.</w:t>
      </w:r>
    </w:p>
    <w:tbl>
      <w:tblPr>
        <w:tblStyle w:val="3"/>
        <w:tblW w:w="5001" w:type="pct"/>
        <w:jc w:val="center"/>
        <w:tblLayout w:type="fixed"/>
        <w:tblCellMar>
          <w:top w:w="0" w:type="dxa"/>
          <w:left w:w="86" w:type="dxa"/>
          <w:bottom w:w="0" w:type="dxa"/>
          <w:right w:w="86" w:type="dxa"/>
        </w:tblCellMar>
      </w:tblPr>
      <w:tblGrid>
        <w:gridCol w:w="4623"/>
        <w:gridCol w:w="4623"/>
      </w:tblGrid>
      <w:tr w14:paraId="29C3DDF1">
        <w:tblPrEx>
          <w:tblCellMar>
            <w:top w:w="0" w:type="dxa"/>
            <w:left w:w="86" w:type="dxa"/>
            <w:bottom w:w="0" w:type="dxa"/>
            <w:right w:w="86" w:type="dxa"/>
          </w:tblCellMar>
        </w:tblPrEx>
        <w:trPr>
          <w:trHeight w:val="1618" w:hRule="atLeast"/>
          <w:jc w:val="center"/>
        </w:trPr>
        <w:tc>
          <w:tcPr>
            <w:tcW w:w="2500" w:type="pct"/>
          </w:tcPr>
          <w:p w14:paraId="4375738B">
            <w:pPr>
              <w:tabs>
                <w:tab w:val="left" w:pos="3342"/>
              </w:tabs>
              <w:spacing w:after="0" w:line="240" w:lineRule="auto"/>
              <w:jc w:val="both"/>
              <w:rPr>
                <w:rFonts w:ascii="Times New Roman" w:hAnsi="Times New Roman" w:eastAsia="Arial"/>
                <w:b/>
                <w:bCs/>
                <w:i/>
                <w:iCs/>
                <w:color w:val="000000"/>
                <w:sz w:val="24"/>
                <w:szCs w:val="24"/>
                <w:highlight w:val="none"/>
                <w:lang w:val="vi-VN"/>
              </w:rPr>
            </w:pPr>
            <w:r>
              <w:rPr>
                <w:rFonts w:ascii="Times New Roman" w:hAnsi="Times New Roman" w:eastAsia="Arial"/>
                <w:sz w:val="26"/>
                <w:szCs w:val="26"/>
                <w:highlight w:val="none"/>
                <w:lang w:val="vi-VN"/>
              </w:rPr>
              <w:t xml:space="preserve"> </w:t>
            </w:r>
            <w:r>
              <w:rPr>
                <w:rFonts w:ascii="Times New Roman" w:hAnsi="Times New Roman" w:eastAsia="Arial"/>
                <w:b/>
                <w:i/>
                <w:color w:val="000000"/>
                <w:sz w:val="24"/>
                <w:szCs w:val="24"/>
                <w:highlight w:val="none"/>
                <w:lang w:val="vi-VN"/>
              </w:rPr>
              <w:t>Nơi nhận:</w:t>
            </w:r>
            <w:r>
              <w:rPr>
                <w:rFonts w:ascii="Times New Roman" w:hAnsi="Times New Roman" w:eastAsia="Arial"/>
                <w:b/>
                <w:i/>
                <w:color w:val="000000"/>
                <w:sz w:val="24"/>
                <w:szCs w:val="24"/>
                <w:highlight w:val="none"/>
                <w:lang w:val="vi-VN"/>
              </w:rPr>
              <w:tab/>
            </w:r>
          </w:p>
          <w:tbl>
            <w:tblPr>
              <w:tblStyle w:val="3"/>
              <w:tblW w:w="4274" w:type="dxa"/>
              <w:tblInd w:w="0" w:type="dxa"/>
              <w:tblLayout w:type="fixed"/>
              <w:tblCellMar>
                <w:top w:w="0" w:type="dxa"/>
                <w:left w:w="108" w:type="dxa"/>
                <w:bottom w:w="0" w:type="dxa"/>
                <w:right w:w="108" w:type="dxa"/>
              </w:tblCellMar>
            </w:tblPr>
            <w:tblGrid>
              <w:gridCol w:w="4274"/>
            </w:tblGrid>
            <w:tr w14:paraId="1A0CFC80">
              <w:tblPrEx>
                <w:tblCellMar>
                  <w:top w:w="0" w:type="dxa"/>
                  <w:left w:w="108" w:type="dxa"/>
                  <w:bottom w:w="0" w:type="dxa"/>
                  <w:right w:w="108" w:type="dxa"/>
                </w:tblCellMar>
              </w:tblPrEx>
              <w:tc>
                <w:tcPr>
                  <w:tcW w:w="4274" w:type="dxa"/>
                </w:tcPr>
                <w:p w14:paraId="0117CBE7">
                  <w:pPr>
                    <w:spacing w:after="0" w:line="240" w:lineRule="auto"/>
                    <w:jc w:val="both"/>
                    <w:rPr>
                      <w:rFonts w:ascii="Times New Roman" w:hAnsi="Times New Roman" w:eastAsia="Arial"/>
                      <w:color w:val="000000"/>
                      <w:highlight w:val="none"/>
                    </w:rPr>
                  </w:pPr>
                  <w:r>
                    <w:rPr>
                      <w:rFonts w:ascii="Times New Roman" w:hAnsi="Times New Roman" w:eastAsia="Arial"/>
                      <w:color w:val="000000"/>
                      <w:highlight w:val="none"/>
                      <w:lang w:val="vi-VN"/>
                    </w:rPr>
                    <w:t xml:space="preserve"> - </w:t>
                  </w:r>
                  <w:r>
                    <w:rPr>
                      <w:rFonts w:ascii="Times New Roman" w:hAnsi="Times New Roman" w:eastAsia="Arial"/>
                      <w:color w:val="000000"/>
                      <w:highlight w:val="none"/>
                    </w:rPr>
                    <w:t>Văn phòng Chính phủ;</w:t>
                  </w:r>
                </w:p>
                <w:p w14:paraId="5062DF77">
                  <w:pPr>
                    <w:spacing w:after="0" w:line="240" w:lineRule="auto"/>
                    <w:jc w:val="both"/>
                    <w:rPr>
                      <w:rFonts w:ascii="Times New Roman" w:hAnsi="Times New Roman" w:eastAsia="Arial"/>
                      <w:color w:val="000000"/>
                      <w:highlight w:val="none"/>
                      <w:lang w:val="vi-VN"/>
                    </w:rPr>
                  </w:pPr>
                  <w:r>
                    <w:rPr>
                      <w:rFonts w:ascii="Times New Roman" w:hAnsi="Times New Roman" w:eastAsia="Arial"/>
                      <w:color w:val="000000"/>
                      <w:highlight w:val="none"/>
                      <w:lang w:val="vi-VN"/>
                    </w:rPr>
                    <w:t xml:space="preserve"> - Vụ Pháp chế - Bộ Tài chính;</w:t>
                  </w:r>
                </w:p>
              </w:tc>
            </w:tr>
          </w:tbl>
          <w:p w14:paraId="16A70417">
            <w:pPr>
              <w:spacing w:after="0" w:line="240" w:lineRule="auto"/>
              <w:jc w:val="both"/>
              <w:rPr>
                <w:rFonts w:ascii="Times New Roman" w:hAnsi="Times New Roman" w:eastAsia="Arial"/>
                <w:color w:val="000000"/>
                <w:highlight w:val="none"/>
                <w:lang w:val="vi-VN"/>
              </w:rPr>
            </w:pPr>
            <w:r>
              <w:rPr>
                <w:rFonts w:ascii="Times New Roman" w:hAnsi="Times New Roman" w:eastAsia="Arial"/>
                <w:color w:val="000000"/>
                <w:highlight w:val="none"/>
                <w:lang w:val="vi-VN"/>
              </w:rPr>
              <w:t xml:space="preserve">   - Cục Kiểm tra văn bản và Tổ chức thi hành pháp luật – Bộ Tư pháp;</w:t>
            </w:r>
          </w:p>
          <w:p w14:paraId="76B1C41D">
            <w:pPr>
              <w:spacing w:after="0" w:line="240" w:lineRule="auto"/>
              <w:jc w:val="both"/>
              <w:rPr>
                <w:rFonts w:ascii="Times New Roman" w:hAnsi="Times New Roman" w:eastAsia="Arial"/>
                <w:color w:val="000000"/>
                <w:highlight w:val="none"/>
                <w:lang w:val="vi-VN"/>
              </w:rPr>
            </w:pPr>
            <w:r>
              <w:rPr>
                <w:rFonts w:ascii="Times New Roman" w:hAnsi="Times New Roman" w:eastAsia="Arial"/>
                <w:color w:val="000000"/>
                <w:highlight w:val="none"/>
                <w:lang w:val="vi-VN"/>
              </w:rPr>
              <w:t xml:space="preserve">   - T</w:t>
            </w:r>
            <w:r>
              <w:rPr>
                <w:rFonts w:ascii="Times New Roman" w:hAnsi="Times New Roman" w:eastAsia="Arial"/>
                <w:color w:val="000000"/>
                <w:highlight w:val="none"/>
              </w:rPr>
              <w:t xml:space="preserve">hường trực </w:t>
            </w:r>
            <w:r>
              <w:rPr>
                <w:rFonts w:ascii="Times New Roman" w:hAnsi="Times New Roman" w:eastAsia="Arial"/>
                <w:color w:val="000000"/>
                <w:highlight w:val="none"/>
                <w:lang w:val="vi-VN"/>
              </w:rPr>
              <w:t xml:space="preserve">Tỉnh ủy; </w:t>
            </w:r>
          </w:p>
          <w:p w14:paraId="7268B15B">
            <w:pPr>
              <w:spacing w:after="0" w:line="240" w:lineRule="auto"/>
              <w:jc w:val="both"/>
              <w:rPr>
                <w:rFonts w:ascii="Times New Roman" w:hAnsi="Times New Roman" w:eastAsia="Arial"/>
                <w:color w:val="000000"/>
                <w:highlight w:val="none"/>
              </w:rPr>
            </w:pPr>
            <w:r>
              <w:rPr>
                <w:rFonts w:ascii="Times New Roman" w:hAnsi="Times New Roman" w:eastAsia="Arial"/>
                <w:color w:val="000000"/>
                <w:highlight w:val="none"/>
                <w:lang w:val="vi-VN"/>
              </w:rPr>
              <w:t xml:space="preserve">   - T</w:t>
            </w:r>
            <w:r>
              <w:rPr>
                <w:rFonts w:ascii="Times New Roman" w:hAnsi="Times New Roman" w:eastAsia="Arial"/>
                <w:color w:val="000000"/>
                <w:highlight w:val="none"/>
              </w:rPr>
              <w:t>hường trực H</w:t>
            </w:r>
            <w:r>
              <w:rPr>
                <w:rFonts w:ascii="Times New Roman" w:hAnsi="Times New Roman" w:eastAsia="Arial"/>
                <w:color w:val="000000"/>
                <w:highlight w:val="none"/>
                <w:lang w:val="vi-VN"/>
              </w:rPr>
              <w:t>ĐND tỉnh;</w:t>
            </w:r>
          </w:p>
          <w:p w14:paraId="5B8E5CA8">
            <w:pPr>
              <w:spacing w:after="0" w:line="240" w:lineRule="auto"/>
              <w:jc w:val="both"/>
              <w:rPr>
                <w:rFonts w:ascii="Times New Roman" w:hAnsi="Times New Roman" w:eastAsia="Arial"/>
                <w:highlight w:val="none"/>
              </w:rPr>
            </w:pPr>
            <w:r>
              <w:rPr>
                <w:rFonts w:ascii="Times New Roman" w:hAnsi="Times New Roman" w:eastAsia="Arial"/>
                <w:color w:val="000000"/>
                <w:highlight w:val="none"/>
              </w:rPr>
              <w:t xml:space="preserve">   - </w:t>
            </w:r>
            <w:r>
              <w:rPr>
                <w:rFonts w:ascii="Times New Roman" w:hAnsi="Times New Roman" w:eastAsia="Arial"/>
                <w:highlight w:val="none"/>
              </w:rPr>
              <w:t>Đoàn Đại biểu quốc hội tỉnh;</w:t>
            </w:r>
          </w:p>
          <w:p w14:paraId="0F1E3494">
            <w:pPr>
              <w:spacing w:after="0" w:line="240" w:lineRule="auto"/>
              <w:jc w:val="both"/>
              <w:rPr>
                <w:rFonts w:ascii="Times New Roman" w:hAnsi="Times New Roman" w:eastAsia="Arial"/>
                <w:highlight w:val="none"/>
              </w:rPr>
            </w:pPr>
            <w:r>
              <w:rPr>
                <w:rFonts w:ascii="Times New Roman" w:hAnsi="Times New Roman" w:eastAsia="Arial"/>
                <w:highlight w:val="none"/>
              </w:rPr>
              <w:t xml:space="preserve">   - Uỷ ban Mặt trận Tổ quốc tỉnh Ninh Bình;</w:t>
            </w:r>
          </w:p>
          <w:p w14:paraId="357F165A">
            <w:pPr>
              <w:spacing w:after="0" w:line="240" w:lineRule="auto"/>
              <w:jc w:val="both"/>
              <w:rPr>
                <w:rFonts w:ascii="Times New Roman" w:hAnsi="Times New Roman" w:eastAsia="Arial"/>
                <w:highlight w:val="none"/>
                <w:lang w:val="vi-VN"/>
              </w:rPr>
            </w:pPr>
            <w:r>
              <w:rPr>
                <w:rFonts w:ascii="Times New Roman" w:hAnsi="Times New Roman" w:eastAsia="Arial"/>
                <w:highlight w:val="none"/>
              </w:rPr>
              <w:t xml:space="preserve">   </w:t>
            </w:r>
            <w:r>
              <w:rPr>
                <w:rFonts w:ascii="Times New Roman" w:hAnsi="Times New Roman" w:eastAsia="Arial"/>
                <w:highlight w:val="none"/>
                <w:lang w:val="vi-VN"/>
              </w:rPr>
              <w:t>- Chủ tịch, các PCT.UBND tỉnh;</w:t>
            </w:r>
          </w:p>
          <w:p w14:paraId="7F35F767">
            <w:pPr>
              <w:spacing w:after="0" w:line="240" w:lineRule="auto"/>
              <w:jc w:val="both"/>
              <w:rPr>
                <w:rFonts w:ascii="Times New Roman" w:hAnsi="Times New Roman" w:eastAsia="Arial"/>
                <w:highlight w:val="none"/>
              </w:rPr>
            </w:pPr>
            <w:r>
              <w:rPr>
                <w:rFonts w:ascii="Times New Roman" w:hAnsi="Times New Roman" w:eastAsia="Arial"/>
                <w:highlight w:val="none"/>
              </w:rPr>
              <w:t xml:space="preserve">   - Lãnh đạo VPUBND tỉnh</w:t>
            </w:r>
          </w:p>
          <w:p w14:paraId="61876FE5">
            <w:pPr>
              <w:spacing w:after="0" w:line="240" w:lineRule="auto"/>
              <w:jc w:val="both"/>
              <w:rPr>
                <w:rFonts w:ascii="Times New Roman" w:hAnsi="Times New Roman" w:eastAsia="Arial"/>
                <w:highlight w:val="none"/>
              </w:rPr>
            </w:pPr>
            <w:r>
              <w:rPr>
                <w:rFonts w:ascii="Times New Roman" w:hAnsi="Times New Roman" w:eastAsia="Arial"/>
                <w:highlight w:val="none"/>
              </w:rPr>
              <w:t xml:space="preserve">   - Các Sở, ban, ngành tỉnh, Hội, đoàn thể;</w:t>
            </w:r>
          </w:p>
          <w:p w14:paraId="1F7760DE">
            <w:pPr>
              <w:spacing w:after="0" w:line="240" w:lineRule="auto"/>
              <w:jc w:val="both"/>
              <w:rPr>
                <w:rFonts w:ascii="Times New Roman" w:hAnsi="Times New Roman" w:eastAsia="Arial"/>
                <w:highlight w:val="none"/>
                <w:lang w:val="vi-VN"/>
              </w:rPr>
            </w:pPr>
            <w:r>
              <w:rPr>
                <w:rFonts w:ascii="Times New Roman" w:hAnsi="Times New Roman" w:eastAsia="Arial"/>
                <w:highlight w:val="none"/>
                <w:lang w:val="vi-VN"/>
              </w:rPr>
              <w:t xml:space="preserve">   - Sở Tư pháp</w:t>
            </w:r>
            <w:r>
              <w:rPr>
                <w:rFonts w:ascii="Times New Roman" w:hAnsi="Times New Roman" w:eastAsia="Arial"/>
                <w:highlight w:val="none"/>
              </w:rPr>
              <w:t xml:space="preserve"> (CSDL Quốc gia về pháp luật)</w:t>
            </w:r>
            <w:r>
              <w:rPr>
                <w:rFonts w:ascii="Times New Roman" w:hAnsi="Times New Roman" w:eastAsia="Arial"/>
                <w:highlight w:val="none"/>
                <w:lang w:val="vi-VN"/>
              </w:rPr>
              <w:t>;</w:t>
            </w:r>
          </w:p>
          <w:p w14:paraId="744480DA">
            <w:pPr>
              <w:spacing w:after="0" w:line="240" w:lineRule="auto"/>
              <w:jc w:val="both"/>
              <w:rPr>
                <w:rFonts w:ascii="Times New Roman" w:hAnsi="Times New Roman" w:eastAsia="Arial"/>
                <w:highlight w:val="none"/>
              </w:rPr>
            </w:pPr>
            <w:r>
              <w:rPr>
                <w:rFonts w:ascii="Times New Roman" w:hAnsi="Times New Roman" w:eastAsia="Arial"/>
                <w:highlight w:val="none"/>
              </w:rPr>
              <w:t xml:space="preserve">   - UBND các xã, phường;</w:t>
            </w:r>
          </w:p>
          <w:p w14:paraId="27B2C8E5">
            <w:pPr>
              <w:spacing w:after="0" w:line="240" w:lineRule="auto"/>
              <w:jc w:val="both"/>
              <w:rPr>
                <w:rFonts w:ascii="Times New Roman" w:hAnsi="Times New Roman" w:eastAsia="Arial"/>
                <w:color w:val="000000"/>
                <w:highlight w:val="none"/>
                <w:lang w:val="vi-VN"/>
              </w:rPr>
            </w:pPr>
            <w:r>
              <w:rPr>
                <w:rFonts w:ascii="Times New Roman" w:hAnsi="Times New Roman" w:eastAsia="Arial"/>
                <w:highlight w:val="none"/>
                <w:lang w:val="vi-VN"/>
              </w:rPr>
              <w:t xml:space="preserve">   - Trung tâm Thông tin Công báo tỉnh;</w:t>
            </w:r>
          </w:p>
          <w:p w14:paraId="0FDBA3CD">
            <w:pPr>
              <w:spacing w:after="0" w:line="240" w:lineRule="auto"/>
              <w:jc w:val="both"/>
              <w:rPr>
                <w:rFonts w:ascii="Times New Roman" w:hAnsi="Times New Roman" w:eastAsia="Arial"/>
                <w:color w:val="000000"/>
                <w:sz w:val="26"/>
                <w:szCs w:val="26"/>
                <w:highlight w:val="none"/>
              </w:rPr>
            </w:pPr>
            <w:r>
              <w:rPr>
                <w:rFonts w:ascii="Times New Roman" w:hAnsi="Times New Roman" w:eastAsia="Arial"/>
                <w:color w:val="000000"/>
                <w:highlight w:val="none"/>
                <w:lang w:val="vi-VN"/>
              </w:rPr>
              <w:t xml:space="preserve"> </w:t>
            </w:r>
            <w:r>
              <w:rPr>
                <w:rFonts w:ascii="Times New Roman" w:hAnsi="Times New Roman" w:eastAsia="Arial"/>
                <w:color w:val="000000"/>
                <w:highlight w:val="none"/>
              </w:rPr>
              <w:t xml:space="preserve"> </w:t>
            </w:r>
            <w:r>
              <w:rPr>
                <w:rFonts w:ascii="Times New Roman" w:hAnsi="Times New Roman" w:eastAsia="Arial"/>
                <w:color w:val="000000"/>
                <w:highlight w:val="none"/>
                <w:lang w:val="vi-VN"/>
              </w:rPr>
              <w:t xml:space="preserve"> - Lưu</w:t>
            </w:r>
            <w:r>
              <w:rPr>
                <w:rFonts w:ascii="Times New Roman" w:hAnsi="Times New Roman" w:eastAsia="Arial"/>
                <w:color w:val="000000"/>
                <w:highlight w:val="none"/>
              </w:rPr>
              <w:t xml:space="preserve"> </w:t>
            </w:r>
            <w:r>
              <w:rPr>
                <w:rFonts w:ascii="Times New Roman" w:hAnsi="Times New Roman" w:eastAsia="Arial"/>
                <w:color w:val="000000"/>
                <w:highlight w:val="none"/>
                <w:lang w:val="vi-VN"/>
              </w:rPr>
              <w:t>VT</w:t>
            </w:r>
            <w:r>
              <w:rPr>
                <w:rFonts w:ascii="Times New Roman" w:hAnsi="Times New Roman" w:eastAsia="Arial"/>
                <w:color w:val="000000"/>
                <w:highlight w:val="none"/>
              </w:rPr>
              <w:t>, VP</w:t>
            </w:r>
          </w:p>
        </w:tc>
        <w:tc>
          <w:tcPr>
            <w:tcW w:w="2500" w:type="pct"/>
          </w:tcPr>
          <w:p w14:paraId="2623A957">
            <w:pPr>
              <w:spacing w:after="0" w:line="240" w:lineRule="auto"/>
              <w:jc w:val="center"/>
              <w:rPr>
                <w:rFonts w:ascii="Times New Roman" w:hAnsi="Times New Roman" w:eastAsia="Arial"/>
                <w:b/>
                <w:bCs/>
                <w:color w:val="000000"/>
                <w:sz w:val="26"/>
                <w:szCs w:val="26"/>
                <w:highlight w:val="none"/>
              </w:rPr>
            </w:pPr>
            <w:r>
              <w:rPr>
                <w:rFonts w:ascii="Times New Roman" w:hAnsi="Times New Roman" w:eastAsia="Arial"/>
                <w:b/>
                <w:bCs/>
                <w:color w:val="000000"/>
                <w:sz w:val="26"/>
                <w:szCs w:val="26"/>
                <w:highlight w:val="none"/>
              </w:rPr>
              <w:t>TM</w:t>
            </w:r>
            <w:r>
              <w:rPr>
                <w:rFonts w:ascii="Times New Roman" w:hAnsi="Times New Roman" w:eastAsia="Arial"/>
                <w:b/>
                <w:bCs/>
                <w:color w:val="000000"/>
                <w:sz w:val="26"/>
                <w:szCs w:val="26"/>
                <w:highlight w:val="none"/>
                <w:lang w:val="vi-VN"/>
              </w:rPr>
              <w:t xml:space="preserve">. </w:t>
            </w:r>
            <w:r>
              <w:rPr>
                <w:rFonts w:ascii="Times New Roman" w:hAnsi="Times New Roman" w:eastAsia="Arial"/>
                <w:b/>
                <w:bCs/>
                <w:color w:val="000000"/>
                <w:sz w:val="26"/>
                <w:szCs w:val="26"/>
                <w:highlight w:val="none"/>
              </w:rPr>
              <w:t xml:space="preserve">ỦY BAN NHÂN DÂN </w:t>
            </w:r>
          </w:p>
          <w:p w14:paraId="27A00DD6">
            <w:pPr>
              <w:spacing w:after="0" w:line="240" w:lineRule="auto"/>
              <w:jc w:val="center"/>
              <w:rPr>
                <w:rFonts w:ascii="Times New Roman" w:hAnsi="Times New Roman" w:eastAsia="Arial"/>
                <w:color w:val="000000"/>
                <w:spacing w:val="-6"/>
                <w:sz w:val="26"/>
                <w:szCs w:val="26"/>
                <w:highlight w:val="none"/>
              </w:rPr>
            </w:pPr>
            <w:r>
              <w:rPr>
                <w:rFonts w:ascii="Times New Roman" w:hAnsi="Times New Roman" w:eastAsia="Arial"/>
                <w:b/>
                <w:bCs/>
                <w:color w:val="000000"/>
                <w:sz w:val="26"/>
                <w:szCs w:val="26"/>
                <w:highlight w:val="none"/>
              </w:rPr>
              <w:t>CHỦ TỊCH</w:t>
            </w:r>
          </w:p>
          <w:p w14:paraId="032E736D">
            <w:pPr>
              <w:spacing w:after="0" w:line="240" w:lineRule="auto"/>
              <w:jc w:val="center"/>
              <w:rPr>
                <w:rFonts w:ascii="Times New Roman" w:hAnsi="Times New Roman" w:eastAsia="Arial"/>
                <w:color w:val="000000"/>
                <w:sz w:val="26"/>
                <w:szCs w:val="26"/>
                <w:highlight w:val="none"/>
                <w:lang w:val="vi-VN"/>
              </w:rPr>
            </w:pPr>
          </w:p>
          <w:p w14:paraId="2FEA6955">
            <w:pPr>
              <w:spacing w:after="0" w:line="240" w:lineRule="auto"/>
              <w:jc w:val="center"/>
              <w:rPr>
                <w:rFonts w:ascii="Times New Roman" w:hAnsi="Times New Roman" w:eastAsia="Arial"/>
                <w:color w:val="000000"/>
                <w:sz w:val="26"/>
                <w:szCs w:val="26"/>
                <w:highlight w:val="none"/>
                <w:lang w:val="vi-VN"/>
              </w:rPr>
            </w:pPr>
          </w:p>
          <w:p w14:paraId="46A2BA3D">
            <w:pPr>
              <w:spacing w:after="0" w:line="240" w:lineRule="auto"/>
              <w:jc w:val="center"/>
              <w:rPr>
                <w:rFonts w:ascii="Times New Roman" w:hAnsi="Times New Roman" w:eastAsia="Arial"/>
                <w:b/>
                <w:bCs/>
                <w:color w:val="000000"/>
                <w:sz w:val="26"/>
                <w:szCs w:val="26"/>
                <w:highlight w:val="none"/>
                <w:lang w:val="vi-VN"/>
              </w:rPr>
            </w:pPr>
          </w:p>
          <w:p w14:paraId="1D3D0ACD">
            <w:pPr>
              <w:spacing w:after="0" w:line="240" w:lineRule="auto"/>
              <w:jc w:val="center"/>
              <w:rPr>
                <w:rFonts w:ascii="Times New Roman" w:hAnsi="Times New Roman" w:eastAsia="Arial"/>
                <w:b/>
                <w:bCs/>
                <w:color w:val="000000"/>
                <w:sz w:val="26"/>
                <w:szCs w:val="26"/>
                <w:highlight w:val="none"/>
                <w:lang w:val="vi-VN"/>
              </w:rPr>
            </w:pPr>
          </w:p>
          <w:p w14:paraId="64F90D53">
            <w:pPr>
              <w:spacing w:after="0" w:line="240" w:lineRule="auto"/>
              <w:jc w:val="center"/>
              <w:rPr>
                <w:rFonts w:ascii="Times New Roman" w:hAnsi="Times New Roman" w:eastAsia="Arial"/>
                <w:b/>
                <w:bCs/>
                <w:color w:val="000000"/>
                <w:sz w:val="26"/>
                <w:szCs w:val="26"/>
                <w:highlight w:val="none"/>
                <w:lang w:val="vi-VN"/>
              </w:rPr>
            </w:pPr>
          </w:p>
          <w:p w14:paraId="4780BA7A">
            <w:pPr>
              <w:spacing w:after="0" w:line="240" w:lineRule="auto"/>
              <w:jc w:val="center"/>
              <w:rPr>
                <w:rFonts w:ascii="Times New Roman" w:hAnsi="Times New Roman" w:eastAsia="Arial"/>
                <w:b/>
                <w:bCs/>
                <w:color w:val="000000"/>
                <w:sz w:val="26"/>
                <w:szCs w:val="26"/>
                <w:highlight w:val="none"/>
              </w:rPr>
            </w:pPr>
          </w:p>
          <w:p w14:paraId="7D54F1FE">
            <w:pPr>
              <w:spacing w:after="0" w:line="240" w:lineRule="auto"/>
              <w:jc w:val="center"/>
              <w:rPr>
                <w:rFonts w:ascii="Times New Roman" w:hAnsi="Times New Roman" w:eastAsia="Arial"/>
                <w:b/>
                <w:bCs/>
                <w:color w:val="000000"/>
                <w:sz w:val="26"/>
                <w:szCs w:val="26"/>
                <w:highlight w:val="none"/>
              </w:rPr>
            </w:pPr>
          </w:p>
        </w:tc>
      </w:tr>
    </w:tbl>
    <w:p w14:paraId="0110AD71">
      <w:pPr>
        <w:rPr>
          <w:rFonts w:ascii="Times New Roman" w:hAnsi="Times New Roman"/>
          <w:sz w:val="28"/>
          <w:szCs w:val="28"/>
        </w:rPr>
      </w:pPr>
    </w:p>
    <w:p w14:paraId="6ADD0469"/>
    <w:sectPr>
      <w:headerReference r:id="rId5" w:type="default"/>
      <w:pgSz w:w="11907" w:h="16840"/>
      <w:pgMar w:top="1134" w:right="1134" w:bottom="1134" w:left="1701" w:header="720" w:footer="680" w:gutter="0"/>
      <w:cols w:space="0" w:num="1"/>
      <w:titlePg/>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Batang">
    <w:altName w:val="Malgun Gothic"/>
    <w:panose1 w:val="02030600000101010101"/>
    <w:charset w:val="81"/>
    <w:family w:val="auto"/>
    <w:pitch w:val="default"/>
    <w:sig w:usb0="00000000" w:usb1="0000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A3D47">
    <w:pPr>
      <w:pStyle w:val="4"/>
      <w:jc w:val="center"/>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PAGE   \* MERGEFORMAT </w:instrText>
    </w:r>
    <w:r>
      <w:rPr>
        <w:rFonts w:ascii="Times New Roman" w:hAnsi="Times New Roman"/>
        <w:sz w:val="26"/>
        <w:szCs w:val="26"/>
      </w:rPr>
      <w:fldChar w:fldCharType="separate"/>
    </w:r>
    <w:r>
      <w:rPr>
        <w:rFonts w:ascii="Times New Roman" w:hAnsi="Times New Roman"/>
        <w:sz w:val="26"/>
        <w:szCs w:val="26"/>
      </w:rPr>
      <w:t>2</w:t>
    </w:r>
    <w:r>
      <w:rPr>
        <w:rFonts w:ascii="Times New Roman" w:hAnsi="Times New Roman"/>
        <w:sz w:val="26"/>
        <w:szCs w:val="26"/>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720"/>
  <w:drawingGridHorizontalSpacing w:val="1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8CE"/>
    <w:rsid w:val="00034356"/>
    <w:rsid w:val="00042F27"/>
    <w:rsid w:val="0006714F"/>
    <w:rsid w:val="0007187E"/>
    <w:rsid w:val="000A28CE"/>
    <w:rsid w:val="000F7F5B"/>
    <w:rsid w:val="00102763"/>
    <w:rsid w:val="00181CC7"/>
    <w:rsid w:val="001845D3"/>
    <w:rsid w:val="001959DC"/>
    <w:rsid w:val="001969DF"/>
    <w:rsid w:val="001B7EC1"/>
    <w:rsid w:val="001C1EDF"/>
    <w:rsid w:val="001D3842"/>
    <w:rsid w:val="001E145A"/>
    <w:rsid w:val="00207462"/>
    <w:rsid w:val="00213C9B"/>
    <w:rsid w:val="00247294"/>
    <w:rsid w:val="0026277B"/>
    <w:rsid w:val="002635FA"/>
    <w:rsid w:val="002716D3"/>
    <w:rsid w:val="002B1D15"/>
    <w:rsid w:val="002C5EA7"/>
    <w:rsid w:val="002E7C0A"/>
    <w:rsid w:val="003323BC"/>
    <w:rsid w:val="0034467F"/>
    <w:rsid w:val="00346F3D"/>
    <w:rsid w:val="00355E4E"/>
    <w:rsid w:val="0036259C"/>
    <w:rsid w:val="003C642C"/>
    <w:rsid w:val="003E762A"/>
    <w:rsid w:val="003F1377"/>
    <w:rsid w:val="004130EC"/>
    <w:rsid w:val="00417CC7"/>
    <w:rsid w:val="00467C0F"/>
    <w:rsid w:val="004B025C"/>
    <w:rsid w:val="004E13F5"/>
    <w:rsid w:val="004F23F5"/>
    <w:rsid w:val="005140D8"/>
    <w:rsid w:val="00547C5E"/>
    <w:rsid w:val="00571924"/>
    <w:rsid w:val="0058511F"/>
    <w:rsid w:val="00597EDD"/>
    <w:rsid w:val="005A29F0"/>
    <w:rsid w:val="005D1452"/>
    <w:rsid w:val="005D3603"/>
    <w:rsid w:val="00615DB8"/>
    <w:rsid w:val="00622EDD"/>
    <w:rsid w:val="00665C4C"/>
    <w:rsid w:val="00685E8D"/>
    <w:rsid w:val="00686904"/>
    <w:rsid w:val="006D4C8D"/>
    <w:rsid w:val="006D50FD"/>
    <w:rsid w:val="006E2902"/>
    <w:rsid w:val="006F5583"/>
    <w:rsid w:val="00705E75"/>
    <w:rsid w:val="00712734"/>
    <w:rsid w:val="00750C3D"/>
    <w:rsid w:val="00772552"/>
    <w:rsid w:val="00772698"/>
    <w:rsid w:val="00782C46"/>
    <w:rsid w:val="007A7590"/>
    <w:rsid w:val="007C7413"/>
    <w:rsid w:val="007F011C"/>
    <w:rsid w:val="00814359"/>
    <w:rsid w:val="008320AE"/>
    <w:rsid w:val="00857FE5"/>
    <w:rsid w:val="008B0AB6"/>
    <w:rsid w:val="008C558F"/>
    <w:rsid w:val="008E30AB"/>
    <w:rsid w:val="009352BB"/>
    <w:rsid w:val="00972D90"/>
    <w:rsid w:val="00994A34"/>
    <w:rsid w:val="009B0EC2"/>
    <w:rsid w:val="009D3986"/>
    <w:rsid w:val="00A13CA8"/>
    <w:rsid w:val="00A20EDB"/>
    <w:rsid w:val="00A22960"/>
    <w:rsid w:val="00A3028A"/>
    <w:rsid w:val="00A35499"/>
    <w:rsid w:val="00A449F6"/>
    <w:rsid w:val="00A5612E"/>
    <w:rsid w:val="00A722BD"/>
    <w:rsid w:val="00A80DE5"/>
    <w:rsid w:val="00A937D7"/>
    <w:rsid w:val="00AD7E64"/>
    <w:rsid w:val="00B36A0C"/>
    <w:rsid w:val="00B71381"/>
    <w:rsid w:val="00B80B7D"/>
    <w:rsid w:val="00B9610B"/>
    <w:rsid w:val="00BA686A"/>
    <w:rsid w:val="00BE00A5"/>
    <w:rsid w:val="00BF496A"/>
    <w:rsid w:val="00BF4993"/>
    <w:rsid w:val="00C06EF8"/>
    <w:rsid w:val="00C26A5E"/>
    <w:rsid w:val="00C73CBD"/>
    <w:rsid w:val="00CC51E9"/>
    <w:rsid w:val="00D20F87"/>
    <w:rsid w:val="00D63F8F"/>
    <w:rsid w:val="00D7741C"/>
    <w:rsid w:val="00D91B21"/>
    <w:rsid w:val="00DB20C6"/>
    <w:rsid w:val="00DC7360"/>
    <w:rsid w:val="00E00F71"/>
    <w:rsid w:val="00E102C0"/>
    <w:rsid w:val="00E13931"/>
    <w:rsid w:val="00E14134"/>
    <w:rsid w:val="00E3057E"/>
    <w:rsid w:val="00E3350C"/>
    <w:rsid w:val="00E34143"/>
    <w:rsid w:val="00E35A38"/>
    <w:rsid w:val="00E45186"/>
    <w:rsid w:val="00E476F6"/>
    <w:rsid w:val="00E67ED6"/>
    <w:rsid w:val="00E91D2D"/>
    <w:rsid w:val="00EB02C8"/>
    <w:rsid w:val="00EB6E90"/>
    <w:rsid w:val="00ED1315"/>
    <w:rsid w:val="00EF630D"/>
    <w:rsid w:val="00F303E1"/>
    <w:rsid w:val="00F4042C"/>
    <w:rsid w:val="00F4241F"/>
    <w:rsid w:val="00F43E87"/>
    <w:rsid w:val="00F60A97"/>
    <w:rsid w:val="00F756F7"/>
    <w:rsid w:val="00FB095E"/>
    <w:rsid w:val="00FB227A"/>
    <w:rsid w:val="00FB6E9E"/>
    <w:rsid w:val="00FC0EE9"/>
    <w:rsid w:val="00FF4CE4"/>
    <w:rsid w:val="02B50291"/>
    <w:rsid w:val="057B238D"/>
    <w:rsid w:val="061E1B96"/>
    <w:rsid w:val="0A5F60CE"/>
    <w:rsid w:val="0B3F1AA6"/>
    <w:rsid w:val="0BBF5056"/>
    <w:rsid w:val="0D9F5BAA"/>
    <w:rsid w:val="0DF75272"/>
    <w:rsid w:val="13A23546"/>
    <w:rsid w:val="189701E7"/>
    <w:rsid w:val="25163BE4"/>
    <w:rsid w:val="2AF6240B"/>
    <w:rsid w:val="2BAC047D"/>
    <w:rsid w:val="34A15E92"/>
    <w:rsid w:val="367F0CDD"/>
    <w:rsid w:val="36C42D31"/>
    <w:rsid w:val="395D2257"/>
    <w:rsid w:val="3B045EEA"/>
    <w:rsid w:val="3B28322A"/>
    <w:rsid w:val="3D394CFE"/>
    <w:rsid w:val="4259696B"/>
    <w:rsid w:val="4F7C2E75"/>
    <w:rsid w:val="54684E7D"/>
    <w:rsid w:val="572B7530"/>
    <w:rsid w:val="5EC2207B"/>
    <w:rsid w:val="639B37D9"/>
    <w:rsid w:val="65EA70EE"/>
    <w:rsid w:val="6B6555BF"/>
    <w:rsid w:val="6E8C0BDB"/>
    <w:rsid w:val="6FC63B32"/>
    <w:rsid w:val="7512343C"/>
    <w:rsid w:val="7C4250E9"/>
    <w:rsid w:val="7CB479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imes New Roman"/>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header"/>
    <w:basedOn w:val="1"/>
    <w:link w:val="6"/>
    <w:unhideWhenUsed/>
    <w:qFormat/>
    <w:uiPriority w:val="99"/>
    <w:pPr>
      <w:tabs>
        <w:tab w:val="center" w:pos="4680"/>
        <w:tab w:val="right" w:pos="9360"/>
      </w:tabs>
    </w:pPr>
  </w:style>
  <w:style w:type="paragraph" w:styleId="5">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customStyle="1" w:styleId="6">
    <w:name w:val="Header Char"/>
    <w:basedOn w:val="2"/>
    <w:link w:val="4"/>
    <w:qFormat/>
    <w:uiPriority w:val="99"/>
    <w:rPr>
      <w:rFonts w:ascii="Calibri" w:hAnsi="Calibri" w:eastAsia="Calibri" w:cs="Times New Roman"/>
      <w:sz w:val="22"/>
    </w:rPr>
  </w:style>
  <w:style w:type="character" w:customStyle="1" w:styleId="7">
    <w:name w:val="fontstyle01"/>
    <w:qFormat/>
    <w:uiPriority w:val="0"/>
    <w:rPr>
      <w:rFonts w:hint="default" w:ascii="Times New Roman" w:hAnsi="Times New Roman" w:cs="Times New Roman"/>
      <w:color w:val="000000"/>
      <w:sz w:val="28"/>
      <w:szCs w:val="28"/>
    </w:rPr>
  </w:style>
  <w:style w:type="paragraph" w:styleId="8">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1214</Words>
  <Characters>4458</Characters>
  <Lines>36</Lines>
  <Paragraphs>10</Paragraphs>
  <TotalTime>1</TotalTime>
  <ScaleCrop>false</ScaleCrop>
  <LinksUpToDate>false</LinksUpToDate>
  <CharactersWithSpaces>5682</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2026-01-22T08:52:00Z</dcterms:created>
  <dc:creator>Admin</dc:creator>
  <cp:lastModifiedBy>Admin</cp:lastModifiedBy>
  <dcterms:modified xsi:type="dcterms:W3CDTF">2026-06-29T02:51:23Z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eyJoZGlkIjoiMmFhYmQzMDZhMDY3ZDBlMmFiNTRiNDYxN2M0NDUyYmUifQ==</vt:lpwstr>
  </property>
  <property fmtid="{D5CDD505-2E9C-101B-9397-08002B2CF9AE}" pid="3" name="KSOProductBuildVer">
    <vt:lpwstr>1033-12.1.0.26880</vt:lpwstr>
  </property>
  <property fmtid="{D5CDD505-2E9C-101B-9397-08002B2CF9AE}" pid="4" name="ICV">
    <vt:lpwstr>A764532BED0E4E83842F89EE7243F9BE_12</vt:lpwstr>
  </property>
</Properties>
</file>